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276" w:lineRule="auto"/>
      </w:pPr>
      <w:r>
        <w:rPr/>
        <w:t>HUBUNGAN</w:t>
      </w:r>
      <w:r>
        <w:rPr>
          <w:spacing w:val="-18"/>
        </w:rPr>
        <w:t> </w:t>
      </w:r>
      <w:r>
        <w:rPr/>
        <w:t>PENGETAHUAN</w:t>
      </w:r>
      <w:r>
        <w:rPr>
          <w:spacing w:val="-13"/>
        </w:rPr>
        <w:t> </w:t>
      </w:r>
      <w:r>
        <w:rPr/>
        <w:t>DAN</w:t>
      </w:r>
      <w:r>
        <w:rPr>
          <w:spacing w:val="-10"/>
        </w:rPr>
        <w:t> </w:t>
      </w:r>
      <w:r>
        <w:rPr/>
        <w:t>SIKAP</w:t>
      </w:r>
      <w:r>
        <w:rPr>
          <w:spacing w:val="-18"/>
        </w:rPr>
        <w:t> </w:t>
      </w:r>
      <w:r>
        <w:rPr/>
        <w:t>DENGAN</w:t>
      </w:r>
      <w:r>
        <w:rPr>
          <w:spacing w:val="-12"/>
        </w:rPr>
        <w:t> </w:t>
      </w:r>
      <w:r>
        <w:rPr/>
        <w:t>PENGELOLAAN SAMPAH RUMAH TANGGA</w:t>
      </w:r>
      <w:r>
        <w:rPr>
          <w:spacing w:val="-7"/>
        </w:rPr>
        <w:t> </w:t>
      </w:r>
      <w:r>
        <w:rPr/>
        <w:t>DI KELURAHAN WEK II KOTA PADANGSIDIMPUAN TAHUN 2026</w:t>
      </w:r>
    </w:p>
    <w:p>
      <w:pPr>
        <w:pStyle w:val="Heading2"/>
        <w:spacing w:before="157"/>
        <w:ind w:left="0" w:right="114"/>
        <w:jc w:val="center"/>
      </w:pPr>
      <w:r>
        <w:rPr/>
        <w:t>Tiara</w:t>
      </w:r>
      <w:r>
        <w:rPr>
          <w:vertAlign w:val="superscript"/>
        </w:rPr>
        <w:t>1</w:t>
      </w:r>
      <w:r>
        <w:rPr>
          <w:vertAlign w:val="baseline"/>
        </w:rPr>
        <w:t>,</w:t>
      </w:r>
      <w:r>
        <w:rPr>
          <w:spacing w:val="-14"/>
          <w:vertAlign w:val="baseline"/>
        </w:rPr>
        <w:t> </w:t>
      </w:r>
      <w:r>
        <w:rPr>
          <w:vertAlign w:val="baseline"/>
        </w:rPr>
        <w:t>Ahmad</w:t>
      </w:r>
      <w:r>
        <w:rPr>
          <w:spacing w:val="-7"/>
          <w:vertAlign w:val="baseline"/>
        </w:rPr>
        <w:t> </w:t>
      </w:r>
      <w:r>
        <w:rPr>
          <w:vertAlign w:val="baseline"/>
        </w:rPr>
        <w:t>Safii</w:t>
      </w:r>
      <w:r>
        <w:rPr>
          <w:spacing w:val="-8"/>
          <w:vertAlign w:val="baseline"/>
        </w:rPr>
        <w:t> </w:t>
      </w:r>
      <w:r>
        <w:rPr>
          <w:vertAlign w:val="baseline"/>
        </w:rPr>
        <w:t>Hasibuan</w:t>
      </w:r>
      <w:r>
        <w:rPr>
          <w:spacing w:val="-19"/>
          <w:vertAlign w:val="baseline"/>
        </w:rPr>
        <w:t> </w:t>
      </w:r>
      <w:r>
        <w:rPr>
          <w:vertAlign w:val="superscript"/>
        </w:rPr>
        <w:t>2</w:t>
      </w:r>
      <w:r>
        <w:rPr>
          <w:vertAlign w:val="baseline"/>
        </w:rPr>
        <w:t>,</w:t>
      </w:r>
      <w:r>
        <w:rPr>
          <w:spacing w:val="-6"/>
          <w:vertAlign w:val="baseline"/>
        </w:rPr>
        <w:t> </w:t>
      </w:r>
      <w:r>
        <w:rPr>
          <w:vertAlign w:val="baseline"/>
        </w:rPr>
        <w:t>Nefonavratilova</w:t>
      </w:r>
      <w:r>
        <w:rPr>
          <w:spacing w:val="-6"/>
          <w:vertAlign w:val="baseline"/>
        </w:rPr>
        <w:t> </w:t>
      </w:r>
      <w:r>
        <w:rPr>
          <w:vertAlign w:val="baseline"/>
        </w:rPr>
        <w:t>Ritonga</w:t>
      </w:r>
      <w:r>
        <w:rPr>
          <w:spacing w:val="-18"/>
          <w:vertAlign w:val="baseline"/>
        </w:rPr>
        <w:t> </w:t>
      </w:r>
      <w:r>
        <w:rPr>
          <w:spacing w:val="-10"/>
          <w:vertAlign w:val="superscript"/>
        </w:rPr>
        <w:t>2</w:t>
      </w:r>
    </w:p>
    <w:p>
      <w:pPr>
        <w:pStyle w:val="BodyText"/>
        <w:spacing w:before="2"/>
        <w:ind w:right="196" w:hanging="48"/>
        <w:jc w:val="center"/>
      </w:pPr>
      <w:r>
        <w:rPr>
          <w:spacing w:val="-8"/>
          <w:vertAlign w:val="superscript"/>
        </w:rPr>
        <w:t>1</w:t>
      </w:r>
      <w:r>
        <w:rPr>
          <w:spacing w:val="-8"/>
          <w:vertAlign w:val="baseline"/>
        </w:rPr>
        <w:t>Mahasiswa</w:t>
      </w:r>
      <w:r>
        <w:rPr>
          <w:spacing w:val="-22"/>
          <w:vertAlign w:val="baseline"/>
        </w:rPr>
        <w:t> </w:t>
      </w:r>
      <w:r>
        <w:rPr>
          <w:spacing w:val="-8"/>
          <w:vertAlign w:val="baseline"/>
        </w:rPr>
        <w:t>Program</w:t>
      </w:r>
      <w:r>
        <w:rPr>
          <w:spacing w:val="-28"/>
          <w:vertAlign w:val="baseline"/>
        </w:rPr>
        <w:t> </w:t>
      </w:r>
      <w:r>
        <w:rPr>
          <w:spacing w:val="-8"/>
          <w:vertAlign w:val="baseline"/>
        </w:rPr>
        <w:t>Ilmu</w:t>
      </w:r>
      <w:r>
        <w:rPr>
          <w:spacing w:val="-22"/>
          <w:vertAlign w:val="baseline"/>
        </w:rPr>
        <w:t> </w:t>
      </w:r>
      <w:r>
        <w:rPr>
          <w:spacing w:val="-8"/>
          <w:vertAlign w:val="baseline"/>
        </w:rPr>
        <w:t>Kesehatan</w:t>
      </w:r>
      <w:r>
        <w:rPr>
          <w:spacing w:val="-22"/>
          <w:vertAlign w:val="baseline"/>
        </w:rPr>
        <w:t> </w:t>
      </w:r>
      <w:r>
        <w:rPr>
          <w:spacing w:val="-8"/>
          <w:vertAlign w:val="baseline"/>
        </w:rPr>
        <w:t>Masyarakat</w:t>
      </w:r>
      <w:r>
        <w:rPr>
          <w:spacing w:val="-20"/>
          <w:vertAlign w:val="baseline"/>
        </w:rPr>
        <w:t> </w:t>
      </w:r>
      <w:r>
        <w:rPr>
          <w:spacing w:val="-8"/>
          <w:vertAlign w:val="baseline"/>
        </w:rPr>
        <w:t>Program</w:t>
      </w:r>
      <w:r>
        <w:rPr>
          <w:spacing w:val="-26"/>
          <w:vertAlign w:val="baseline"/>
        </w:rPr>
        <w:t> </w:t>
      </w:r>
      <w:r>
        <w:rPr>
          <w:spacing w:val="-8"/>
          <w:vertAlign w:val="baseline"/>
        </w:rPr>
        <w:t>Sarjana</w:t>
      </w:r>
      <w:r>
        <w:rPr>
          <w:spacing w:val="-21"/>
          <w:vertAlign w:val="baseline"/>
        </w:rPr>
        <w:t> </w:t>
      </w:r>
      <w:r>
        <w:rPr>
          <w:spacing w:val="-8"/>
          <w:vertAlign w:val="baseline"/>
        </w:rPr>
        <w:t>Fakultas</w:t>
      </w:r>
      <w:r>
        <w:rPr>
          <w:spacing w:val="-21"/>
          <w:vertAlign w:val="baseline"/>
        </w:rPr>
        <w:t> </w:t>
      </w:r>
      <w:r>
        <w:rPr>
          <w:spacing w:val="-8"/>
          <w:vertAlign w:val="baseline"/>
        </w:rPr>
        <w:t>Kesehatan</w:t>
      </w:r>
      <w:r>
        <w:rPr>
          <w:spacing w:val="-22"/>
          <w:vertAlign w:val="baseline"/>
        </w:rPr>
        <w:t> </w:t>
      </w:r>
      <w:r>
        <w:rPr>
          <w:spacing w:val="-8"/>
          <w:vertAlign w:val="baseline"/>
        </w:rPr>
        <w:t>Universitas</w:t>
      </w:r>
      <w:r>
        <w:rPr>
          <w:spacing w:val="-23"/>
          <w:vertAlign w:val="baseline"/>
        </w:rPr>
        <w:t> </w:t>
      </w:r>
      <w:r>
        <w:rPr>
          <w:spacing w:val="-8"/>
          <w:vertAlign w:val="baseline"/>
        </w:rPr>
        <w:t>Aufa</w:t>
      </w:r>
      <w:r>
        <w:rPr>
          <w:spacing w:val="-24"/>
          <w:vertAlign w:val="baseline"/>
        </w:rPr>
        <w:t> </w:t>
      </w:r>
      <w:r>
        <w:rPr>
          <w:spacing w:val="-8"/>
          <w:vertAlign w:val="baseline"/>
        </w:rPr>
        <w:t>Royhan </w:t>
      </w:r>
      <w:r>
        <w:rPr>
          <w:spacing w:val="-10"/>
          <w:vertAlign w:val="superscript"/>
        </w:rPr>
        <w:t>2</w:t>
      </w:r>
      <w:r>
        <w:rPr>
          <w:spacing w:val="-10"/>
          <w:vertAlign w:val="baseline"/>
        </w:rPr>
        <w:t>Dosen</w:t>
      </w:r>
      <w:r>
        <w:rPr>
          <w:spacing w:val="-15"/>
          <w:vertAlign w:val="baseline"/>
        </w:rPr>
        <w:t> </w:t>
      </w:r>
      <w:r>
        <w:rPr>
          <w:spacing w:val="-10"/>
          <w:vertAlign w:val="baseline"/>
        </w:rPr>
        <w:t>Program</w:t>
      </w:r>
      <w:r>
        <w:rPr>
          <w:spacing w:val="-23"/>
          <w:vertAlign w:val="baseline"/>
        </w:rPr>
        <w:t> </w:t>
      </w:r>
      <w:r>
        <w:rPr>
          <w:spacing w:val="-10"/>
          <w:vertAlign w:val="baseline"/>
        </w:rPr>
        <w:t>Studi</w:t>
      </w:r>
      <w:r>
        <w:rPr>
          <w:spacing w:val="-14"/>
          <w:vertAlign w:val="baseline"/>
        </w:rPr>
        <w:t> </w:t>
      </w:r>
      <w:r>
        <w:rPr>
          <w:spacing w:val="-10"/>
          <w:vertAlign w:val="baseline"/>
        </w:rPr>
        <w:t>Ilmu</w:t>
      </w:r>
      <w:r>
        <w:rPr>
          <w:spacing w:val="-15"/>
          <w:vertAlign w:val="baseline"/>
        </w:rPr>
        <w:t> </w:t>
      </w:r>
      <w:r>
        <w:rPr>
          <w:spacing w:val="-10"/>
          <w:vertAlign w:val="baseline"/>
        </w:rPr>
        <w:t>Kesehatan</w:t>
      </w:r>
      <w:r>
        <w:rPr>
          <w:spacing w:val="-18"/>
          <w:vertAlign w:val="baseline"/>
        </w:rPr>
        <w:t> </w:t>
      </w:r>
      <w:r>
        <w:rPr>
          <w:spacing w:val="-10"/>
          <w:vertAlign w:val="baseline"/>
        </w:rPr>
        <w:t>Masyarakat</w:t>
      </w:r>
      <w:r>
        <w:rPr>
          <w:spacing w:val="-16"/>
          <w:vertAlign w:val="baseline"/>
        </w:rPr>
        <w:t> </w:t>
      </w:r>
      <w:r>
        <w:rPr>
          <w:spacing w:val="-10"/>
          <w:vertAlign w:val="baseline"/>
        </w:rPr>
        <w:t>Program</w:t>
      </w:r>
      <w:r>
        <w:rPr>
          <w:spacing w:val="-23"/>
          <w:vertAlign w:val="baseline"/>
        </w:rPr>
        <w:t> </w:t>
      </w:r>
      <w:r>
        <w:rPr>
          <w:spacing w:val="-10"/>
          <w:vertAlign w:val="baseline"/>
        </w:rPr>
        <w:t>Sarjana</w:t>
      </w:r>
      <w:r>
        <w:rPr>
          <w:spacing w:val="-14"/>
          <w:vertAlign w:val="baseline"/>
        </w:rPr>
        <w:t> </w:t>
      </w:r>
      <w:r>
        <w:rPr>
          <w:spacing w:val="-10"/>
          <w:vertAlign w:val="baseline"/>
        </w:rPr>
        <w:t>Fakultas</w:t>
      </w:r>
      <w:r>
        <w:rPr>
          <w:spacing w:val="-14"/>
          <w:vertAlign w:val="baseline"/>
        </w:rPr>
        <w:t> </w:t>
      </w:r>
      <w:r>
        <w:rPr>
          <w:spacing w:val="-10"/>
          <w:vertAlign w:val="baseline"/>
        </w:rPr>
        <w:t>Kesehatan</w:t>
      </w:r>
      <w:r>
        <w:rPr>
          <w:spacing w:val="-15"/>
          <w:vertAlign w:val="baseline"/>
        </w:rPr>
        <w:t> </w:t>
      </w:r>
      <w:r>
        <w:rPr>
          <w:spacing w:val="-10"/>
          <w:vertAlign w:val="baseline"/>
        </w:rPr>
        <w:t>Universitas</w:t>
      </w:r>
      <w:r>
        <w:rPr>
          <w:spacing w:val="-14"/>
          <w:vertAlign w:val="baseline"/>
        </w:rPr>
        <w:t> </w:t>
      </w:r>
      <w:r>
        <w:rPr>
          <w:spacing w:val="-10"/>
          <w:vertAlign w:val="baseline"/>
        </w:rPr>
        <w:t>Aufa</w:t>
      </w:r>
      <w:r>
        <w:rPr>
          <w:spacing w:val="-14"/>
          <w:vertAlign w:val="baseline"/>
        </w:rPr>
        <w:t> </w:t>
      </w:r>
      <w:r>
        <w:rPr>
          <w:spacing w:val="-10"/>
          <w:vertAlign w:val="baseline"/>
        </w:rPr>
        <w:t>Royhan </w:t>
      </w:r>
      <w:hyperlink r:id="rId5">
        <w:r>
          <w:rPr>
            <w:color w:val="0462C1"/>
            <w:spacing w:val="-2"/>
            <w:u w:val="single" w:color="0462C1"/>
            <w:vertAlign w:val="baseline"/>
          </w:rPr>
          <w:t>hy.tiayah@gmail.com</w:t>
        </w:r>
        <w:r>
          <w:rPr>
            <w:spacing w:val="-2"/>
            <w:vertAlign w:val="baseline"/>
          </w:rPr>
          <w:t>/</w:t>
        </w:r>
      </w:hyperlink>
      <w:r>
        <w:rPr>
          <w:spacing w:val="-2"/>
          <w:vertAlign w:val="baseline"/>
        </w:rPr>
        <w:t>085280444236</w:t>
      </w:r>
    </w:p>
    <w:p>
      <w:pPr>
        <w:pStyle w:val="Heading1"/>
        <w:spacing w:line="276" w:lineRule="exact" w:before="254"/>
        <w:ind w:left="27" w:right="139" w:firstLine="0"/>
        <w:jc w:val="center"/>
      </w:pPr>
      <w:r>
        <w:rPr>
          <w:spacing w:val="-2"/>
        </w:rPr>
        <w:t>ABSTRAK</w:t>
      </w:r>
    </w:p>
    <w:p>
      <w:pPr>
        <w:pStyle w:val="BodyText"/>
        <w:ind w:right="158"/>
      </w:pPr>
      <w:r>
        <w:rPr/>
        <w:t>Isu sampah rumah tangga menjadi masalah serius di Indonesia seiring dengan peningkatan timbulan sampah yang tidak diimbangi penanganan yang baik, sehingga memicu pencemaran lingkungan dan penularan</w:t>
      </w:r>
      <w:r>
        <w:rPr>
          <w:spacing w:val="-5"/>
        </w:rPr>
        <w:t> </w:t>
      </w:r>
      <w:r>
        <w:rPr/>
        <w:t>penyakit.</w:t>
      </w:r>
      <w:r>
        <w:rPr>
          <w:spacing w:val="-5"/>
        </w:rPr>
        <w:t> </w:t>
      </w:r>
      <w:r>
        <w:rPr/>
        <w:t>Penelitian</w:t>
      </w:r>
      <w:r>
        <w:rPr>
          <w:spacing w:val="-7"/>
        </w:rPr>
        <w:t> </w:t>
      </w:r>
      <w:r>
        <w:rPr/>
        <w:t>ini</w:t>
      </w:r>
      <w:r>
        <w:rPr>
          <w:spacing w:val="-6"/>
        </w:rPr>
        <w:t> </w:t>
      </w:r>
      <w:r>
        <w:rPr/>
        <w:t>bertujuan</w:t>
      </w:r>
      <w:r>
        <w:rPr>
          <w:spacing w:val="-7"/>
        </w:rPr>
        <w:t> </w:t>
      </w:r>
      <w:r>
        <w:rPr/>
        <w:t>untuk</w:t>
      </w:r>
      <w:r>
        <w:rPr>
          <w:spacing w:val="-5"/>
        </w:rPr>
        <w:t> </w:t>
      </w:r>
      <w:r>
        <w:rPr/>
        <w:t>mengetahui</w:t>
      </w:r>
      <w:r>
        <w:rPr>
          <w:spacing w:val="-4"/>
        </w:rPr>
        <w:t> </w:t>
      </w:r>
      <w:r>
        <w:rPr/>
        <w:t>hubungan</w:t>
      </w:r>
      <w:r>
        <w:rPr>
          <w:spacing w:val="-4"/>
        </w:rPr>
        <w:t> </w:t>
      </w:r>
      <w:r>
        <w:rPr/>
        <w:t>pengetahuan</w:t>
      </w:r>
      <w:r>
        <w:rPr>
          <w:spacing w:val="-4"/>
        </w:rPr>
        <w:t> </w:t>
      </w:r>
      <w:r>
        <w:rPr/>
        <w:t>dan</w:t>
      </w:r>
      <w:r>
        <w:rPr>
          <w:spacing w:val="-7"/>
        </w:rPr>
        <w:t> </w:t>
      </w:r>
      <w:r>
        <w:rPr/>
        <w:t>sikap</w:t>
      </w:r>
      <w:r>
        <w:rPr>
          <w:spacing w:val="-4"/>
        </w:rPr>
        <w:t> </w:t>
      </w:r>
      <w:r>
        <w:rPr/>
        <w:t>dalam pengelolaan sampah rumah tangga di Kelurahan Wek II Kota Padangsidimpuan Tahun 2026. Jenis penelitian yang digunakan adalah kuantitatif dengan desain analitik menggunakan metode cross-sectional, sebanyak 90 sampel, dipilih menggunakan teknik non probability sampling dengan cara purposive sampling sesuai kriteria inklusi. Pengumpulan data dilakukan menggunakan kuesioner, kemudian dianalisis secara univariat dan bivariat menggunakan uji Chi Square. Hasil uji statistik chi-square dipero leh nilai p-value untuk variabel pengetahuan sebesar 0,001 dan variabel sikap sebesar 0,012 artinya p-value &lt; 0,05 maka terdapat hubungan yang signifikan antara pengetahuan dan sikap dengan pengelolaan sampah rumah tangga di Kelurahan Wek II Kota Padangsidimpuan Tahun 2026. Oleh</w:t>
      </w:r>
      <w:r>
        <w:rPr>
          <w:spacing w:val="-3"/>
        </w:rPr>
        <w:t> </w:t>
      </w:r>
      <w:r>
        <w:rPr/>
        <w:t>karena</w:t>
      </w:r>
      <w:r>
        <w:rPr>
          <w:spacing w:val="-3"/>
        </w:rPr>
        <w:t> </w:t>
      </w:r>
      <w:r>
        <w:rPr/>
        <w:t>itu</w:t>
      </w:r>
      <w:r>
        <w:rPr>
          <w:spacing w:val="-3"/>
        </w:rPr>
        <w:t> </w:t>
      </w:r>
      <w:r>
        <w:rPr/>
        <w:t>diharapkan</w:t>
      </w:r>
      <w:r>
        <w:rPr>
          <w:spacing w:val="-5"/>
        </w:rPr>
        <w:t> </w:t>
      </w:r>
      <w:r>
        <w:rPr/>
        <w:t>masyarakat</w:t>
      </w:r>
      <w:r>
        <w:rPr>
          <w:spacing w:val="-2"/>
        </w:rPr>
        <w:t> </w:t>
      </w:r>
      <w:r>
        <w:rPr/>
        <w:t>tidak</w:t>
      </w:r>
      <w:r>
        <w:rPr>
          <w:spacing w:val="-5"/>
        </w:rPr>
        <w:t> </w:t>
      </w:r>
      <w:r>
        <w:rPr/>
        <w:t>hanya</w:t>
      </w:r>
      <w:r>
        <w:rPr>
          <w:spacing w:val="-5"/>
        </w:rPr>
        <w:t> </w:t>
      </w:r>
      <w:r>
        <w:rPr/>
        <w:t>memahami</w:t>
      </w:r>
      <w:r>
        <w:rPr>
          <w:spacing w:val="-2"/>
        </w:rPr>
        <w:t> </w:t>
      </w:r>
      <w:r>
        <w:rPr/>
        <w:t>pentingnya</w:t>
      </w:r>
      <w:r>
        <w:rPr>
          <w:spacing w:val="-3"/>
        </w:rPr>
        <w:t> </w:t>
      </w:r>
      <w:r>
        <w:rPr/>
        <w:t>pengelolaan</w:t>
      </w:r>
      <w:r>
        <w:rPr>
          <w:spacing w:val="-6"/>
        </w:rPr>
        <w:t> </w:t>
      </w:r>
      <w:r>
        <w:rPr/>
        <w:t>sampah,</w:t>
      </w:r>
      <w:r>
        <w:rPr>
          <w:spacing w:val="-3"/>
        </w:rPr>
        <w:t> </w:t>
      </w:r>
      <w:r>
        <w:rPr/>
        <w:t>tetapi juga menerapkannya demi mewujudkan lingkungan yang sehat.</w:t>
      </w:r>
    </w:p>
    <w:p>
      <w:pPr>
        <w:pStyle w:val="Heading2"/>
        <w:spacing w:before="2"/>
      </w:pPr>
      <w:r>
        <w:rPr/>
        <w:t>Kata</w:t>
      </w:r>
      <w:r>
        <w:rPr>
          <w:spacing w:val="-10"/>
        </w:rPr>
        <w:t> </w:t>
      </w:r>
      <w:r>
        <w:rPr/>
        <w:t>Kunci</w:t>
      </w:r>
      <w:r>
        <w:rPr>
          <w:spacing w:val="-7"/>
        </w:rPr>
        <w:t> </w:t>
      </w:r>
      <w:r>
        <w:rPr/>
        <w:t>:</w:t>
      </w:r>
      <w:r>
        <w:rPr>
          <w:spacing w:val="-3"/>
        </w:rPr>
        <w:t> </w:t>
      </w:r>
      <w:r>
        <w:rPr/>
        <w:t>Pengetahuan,</w:t>
      </w:r>
      <w:r>
        <w:rPr>
          <w:spacing w:val="-5"/>
        </w:rPr>
        <w:t> </w:t>
      </w:r>
      <w:r>
        <w:rPr/>
        <w:t>Sikap,</w:t>
      </w:r>
      <w:r>
        <w:rPr>
          <w:spacing w:val="-5"/>
        </w:rPr>
        <w:t> </w:t>
      </w:r>
      <w:r>
        <w:rPr/>
        <w:t>Pengelolaan</w:t>
      </w:r>
      <w:r>
        <w:rPr>
          <w:spacing w:val="-7"/>
        </w:rPr>
        <w:t> </w:t>
      </w:r>
      <w:r>
        <w:rPr/>
        <w:t>Sampah,</w:t>
      </w:r>
      <w:r>
        <w:rPr>
          <w:spacing w:val="-5"/>
        </w:rPr>
        <w:t> </w:t>
      </w:r>
      <w:r>
        <w:rPr/>
        <w:t>Rumah</w:t>
      </w:r>
      <w:r>
        <w:rPr>
          <w:spacing w:val="-9"/>
        </w:rPr>
        <w:t> </w:t>
      </w:r>
      <w:r>
        <w:rPr>
          <w:spacing w:val="-2"/>
        </w:rPr>
        <w:t>Tangga</w:t>
      </w:r>
    </w:p>
    <w:p>
      <w:pPr>
        <w:spacing w:before="197"/>
        <w:ind w:left="28" w:right="139" w:firstLine="0"/>
        <w:jc w:val="center"/>
        <w:rPr>
          <w:b/>
          <w:i/>
          <w:sz w:val="24"/>
        </w:rPr>
      </w:pPr>
      <w:r>
        <w:rPr>
          <w:b/>
          <w:i/>
          <w:spacing w:val="-2"/>
          <w:sz w:val="24"/>
        </w:rPr>
        <w:t>ABSTRACT</w:t>
      </w:r>
    </w:p>
    <w:p>
      <w:pPr>
        <w:spacing w:line="259" w:lineRule="auto" w:before="2"/>
        <w:ind w:left="23" w:right="159" w:firstLine="0"/>
        <w:jc w:val="both"/>
        <w:rPr>
          <w:i/>
          <w:sz w:val="22"/>
        </w:rPr>
      </w:pPr>
      <w:r>
        <w:rPr>
          <w:i/>
          <w:sz w:val="22"/>
        </w:rPr>
        <w:t>Household</w:t>
      </w:r>
      <w:r>
        <w:rPr>
          <w:i/>
          <w:spacing w:val="-2"/>
          <w:sz w:val="22"/>
        </w:rPr>
        <w:t> </w:t>
      </w:r>
      <w:r>
        <w:rPr>
          <w:i/>
          <w:sz w:val="22"/>
        </w:rPr>
        <w:t>waste</w:t>
      </w:r>
      <w:r>
        <w:rPr>
          <w:i/>
          <w:spacing w:val="-2"/>
          <w:sz w:val="22"/>
        </w:rPr>
        <w:t> </w:t>
      </w:r>
      <w:r>
        <w:rPr>
          <w:i/>
          <w:sz w:val="22"/>
        </w:rPr>
        <w:t>has</w:t>
      </w:r>
      <w:r>
        <w:rPr>
          <w:i/>
          <w:spacing w:val="-2"/>
          <w:sz w:val="22"/>
        </w:rPr>
        <w:t> </w:t>
      </w:r>
      <w:r>
        <w:rPr>
          <w:i/>
          <w:sz w:val="22"/>
        </w:rPr>
        <w:t>become</w:t>
      </w:r>
      <w:r>
        <w:rPr>
          <w:i/>
          <w:spacing w:val="-2"/>
          <w:sz w:val="22"/>
        </w:rPr>
        <w:t> </w:t>
      </w:r>
      <w:r>
        <w:rPr>
          <w:i/>
          <w:sz w:val="22"/>
        </w:rPr>
        <w:t>a</w:t>
      </w:r>
      <w:r>
        <w:rPr>
          <w:i/>
          <w:spacing w:val="-2"/>
          <w:sz w:val="22"/>
        </w:rPr>
        <w:t> </w:t>
      </w:r>
      <w:r>
        <w:rPr>
          <w:i/>
          <w:sz w:val="22"/>
        </w:rPr>
        <w:t>serious</w:t>
      </w:r>
      <w:r>
        <w:rPr>
          <w:i/>
          <w:spacing w:val="-2"/>
          <w:sz w:val="22"/>
        </w:rPr>
        <w:t> </w:t>
      </w:r>
      <w:r>
        <w:rPr>
          <w:i/>
          <w:sz w:val="22"/>
        </w:rPr>
        <w:t>environmental</w:t>
      </w:r>
      <w:r>
        <w:rPr>
          <w:i/>
          <w:spacing w:val="-4"/>
          <w:sz w:val="22"/>
        </w:rPr>
        <w:t> </w:t>
      </w:r>
      <w:r>
        <w:rPr>
          <w:i/>
          <w:sz w:val="22"/>
        </w:rPr>
        <w:t>issue</w:t>
      </w:r>
      <w:r>
        <w:rPr>
          <w:i/>
          <w:spacing w:val="-2"/>
          <w:sz w:val="22"/>
        </w:rPr>
        <w:t> </w:t>
      </w:r>
      <w:r>
        <w:rPr>
          <w:i/>
          <w:sz w:val="22"/>
        </w:rPr>
        <w:t>in</w:t>
      </w:r>
      <w:r>
        <w:rPr>
          <w:i/>
          <w:spacing w:val="-2"/>
          <w:sz w:val="22"/>
        </w:rPr>
        <w:t> </w:t>
      </w:r>
      <w:r>
        <w:rPr>
          <w:i/>
          <w:sz w:val="22"/>
        </w:rPr>
        <w:t>Indonesia</w:t>
      </w:r>
      <w:r>
        <w:rPr>
          <w:i/>
          <w:spacing w:val="-2"/>
          <w:sz w:val="22"/>
        </w:rPr>
        <w:t> </w:t>
      </w:r>
      <w:r>
        <w:rPr>
          <w:i/>
          <w:sz w:val="22"/>
        </w:rPr>
        <w:t>due</w:t>
      </w:r>
      <w:r>
        <w:rPr>
          <w:i/>
          <w:spacing w:val="-2"/>
          <w:sz w:val="22"/>
        </w:rPr>
        <w:t> </w:t>
      </w:r>
      <w:r>
        <w:rPr>
          <w:i/>
          <w:sz w:val="22"/>
        </w:rPr>
        <w:t>to</w:t>
      </w:r>
      <w:r>
        <w:rPr>
          <w:i/>
          <w:spacing w:val="-5"/>
          <w:sz w:val="22"/>
        </w:rPr>
        <w:t> </w:t>
      </w:r>
      <w:r>
        <w:rPr>
          <w:i/>
          <w:sz w:val="22"/>
        </w:rPr>
        <w:t>the</w:t>
      </w:r>
      <w:r>
        <w:rPr>
          <w:i/>
          <w:spacing w:val="-2"/>
          <w:sz w:val="22"/>
        </w:rPr>
        <w:t> </w:t>
      </w:r>
      <w:r>
        <w:rPr>
          <w:i/>
          <w:sz w:val="22"/>
        </w:rPr>
        <w:t>increasing</w:t>
      </w:r>
      <w:r>
        <w:rPr>
          <w:i/>
          <w:spacing w:val="-2"/>
          <w:sz w:val="22"/>
        </w:rPr>
        <w:t> </w:t>
      </w:r>
      <w:r>
        <w:rPr>
          <w:i/>
          <w:sz w:val="22"/>
        </w:rPr>
        <w:t>volume of</w:t>
      </w:r>
      <w:r>
        <w:rPr>
          <w:i/>
          <w:spacing w:val="-11"/>
          <w:sz w:val="22"/>
        </w:rPr>
        <w:t> </w:t>
      </w:r>
      <w:r>
        <w:rPr>
          <w:i/>
          <w:sz w:val="22"/>
        </w:rPr>
        <w:t>waste</w:t>
      </w:r>
      <w:r>
        <w:rPr>
          <w:i/>
          <w:spacing w:val="-12"/>
          <w:sz w:val="22"/>
        </w:rPr>
        <w:t> </w:t>
      </w:r>
      <w:r>
        <w:rPr>
          <w:i/>
          <w:sz w:val="22"/>
        </w:rPr>
        <w:t>that</w:t>
      </w:r>
      <w:r>
        <w:rPr>
          <w:i/>
          <w:spacing w:val="-11"/>
          <w:sz w:val="22"/>
        </w:rPr>
        <w:t> </w:t>
      </w:r>
      <w:r>
        <w:rPr>
          <w:i/>
          <w:sz w:val="22"/>
        </w:rPr>
        <w:t>is</w:t>
      </w:r>
      <w:r>
        <w:rPr>
          <w:i/>
          <w:spacing w:val="-11"/>
          <w:sz w:val="22"/>
        </w:rPr>
        <w:t> </w:t>
      </w:r>
      <w:r>
        <w:rPr>
          <w:i/>
          <w:sz w:val="22"/>
        </w:rPr>
        <w:t>not</w:t>
      </w:r>
      <w:r>
        <w:rPr>
          <w:i/>
          <w:spacing w:val="-11"/>
          <w:sz w:val="22"/>
        </w:rPr>
        <w:t> </w:t>
      </w:r>
      <w:r>
        <w:rPr>
          <w:i/>
          <w:sz w:val="22"/>
        </w:rPr>
        <w:t>matched</w:t>
      </w:r>
      <w:r>
        <w:rPr>
          <w:i/>
          <w:spacing w:val="-13"/>
          <w:sz w:val="22"/>
        </w:rPr>
        <w:t> </w:t>
      </w:r>
      <w:r>
        <w:rPr>
          <w:i/>
          <w:sz w:val="22"/>
        </w:rPr>
        <w:t>by</w:t>
      </w:r>
      <w:r>
        <w:rPr>
          <w:i/>
          <w:spacing w:val="-12"/>
          <w:sz w:val="22"/>
        </w:rPr>
        <w:t> </w:t>
      </w:r>
      <w:r>
        <w:rPr>
          <w:i/>
          <w:sz w:val="22"/>
        </w:rPr>
        <w:t>proper</w:t>
      </w:r>
      <w:r>
        <w:rPr>
          <w:i/>
          <w:spacing w:val="-11"/>
          <w:sz w:val="22"/>
        </w:rPr>
        <w:t> </w:t>
      </w:r>
      <w:r>
        <w:rPr>
          <w:i/>
          <w:sz w:val="22"/>
        </w:rPr>
        <w:t>waste</w:t>
      </w:r>
      <w:r>
        <w:rPr>
          <w:i/>
          <w:spacing w:val="-12"/>
          <w:sz w:val="22"/>
        </w:rPr>
        <w:t> </w:t>
      </w:r>
      <w:r>
        <w:rPr>
          <w:i/>
          <w:sz w:val="22"/>
        </w:rPr>
        <w:t>management</w:t>
      </w:r>
      <w:r>
        <w:rPr>
          <w:i/>
          <w:spacing w:val="-11"/>
          <w:sz w:val="22"/>
        </w:rPr>
        <w:t> </w:t>
      </w:r>
      <w:r>
        <w:rPr>
          <w:i/>
          <w:sz w:val="22"/>
        </w:rPr>
        <w:t>practices,</w:t>
      </w:r>
      <w:r>
        <w:rPr>
          <w:i/>
          <w:spacing w:val="-13"/>
          <w:sz w:val="22"/>
        </w:rPr>
        <w:t> </w:t>
      </w:r>
      <w:r>
        <w:rPr>
          <w:i/>
          <w:sz w:val="22"/>
        </w:rPr>
        <w:t>leading</w:t>
      </w:r>
      <w:r>
        <w:rPr>
          <w:i/>
          <w:spacing w:val="-12"/>
          <w:sz w:val="22"/>
        </w:rPr>
        <w:t> </w:t>
      </w:r>
      <w:r>
        <w:rPr>
          <w:i/>
          <w:sz w:val="22"/>
        </w:rPr>
        <w:t>to</w:t>
      </w:r>
      <w:r>
        <w:rPr>
          <w:i/>
          <w:spacing w:val="-12"/>
          <w:sz w:val="22"/>
        </w:rPr>
        <w:t> </w:t>
      </w:r>
      <w:r>
        <w:rPr>
          <w:i/>
          <w:sz w:val="22"/>
        </w:rPr>
        <w:t>environmental</w:t>
      </w:r>
      <w:r>
        <w:rPr>
          <w:i/>
          <w:spacing w:val="-11"/>
          <w:sz w:val="22"/>
        </w:rPr>
        <w:t> </w:t>
      </w:r>
      <w:r>
        <w:rPr>
          <w:i/>
          <w:sz w:val="22"/>
        </w:rPr>
        <w:t>pollution and the spread of diseases. This study aimed to determine the relationship between knowledge and attitudes toward household waste management in Wek II Village, Padangsidimpuan 2026. This study employed a quantitative analytical design with a cross-sectional approach. A total of 90 respondents were</w:t>
      </w:r>
      <w:r>
        <w:rPr>
          <w:i/>
          <w:spacing w:val="-7"/>
          <w:sz w:val="22"/>
        </w:rPr>
        <w:t> </w:t>
      </w:r>
      <w:r>
        <w:rPr>
          <w:i/>
          <w:sz w:val="22"/>
        </w:rPr>
        <w:t>selected</w:t>
      </w:r>
      <w:r>
        <w:rPr>
          <w:i/>
          <w:spacing w:val="-7"/>
          <w:sz w:val="22"/>
        </w:rPr>
        <w:t> </w:t>
      </w:r>
      <w:r>
        <w:rPr>
          <w:i/>
          <w:sz w:val="22"/>
        </w:rPr>
        <w:t>using</w:t>
      </w:r>
      <w:r>
        <w:rPr>
          <w:i/>
          <w:spacing w:val="-5"/>
          <w:sz w:val="22"/>
        </w:rPr>
        <w:t> </w:t>
      </w:r>
      <w:r>
        <w:rPr>
          <w:i/>
          <w:sz w:val="22"/>
        </w:rPr>
        <w:t>a</w:t>
      </w:r>
      <w:r>
        <w:rPr>
          <w:i/>
          <w:spacing w:val="-7"/>
          <w:sz w:val="22"/>
        </w:rPr>
        <w:t> </w:t>
      </w:r>
      <w:r>
        <w:rPr>
          <w:i/>
          <w:sz w:val="22"/>
        </w:rPr>
        <w:t>non-probability</w:t>
      </w:r>
      <w:r>
        <w:rPr>
          <w:i/>
          <w:spacing w:val="-7"/>
          <w:sz w:val="22"/>
        </w:rPr>
        <w:t> </w:t>
      </w:r>
      <w:r>
        <w:rPr>
          <w:i/>
          <w:sz w:val="22"/>
        </w:rPr>
        <w:t>purposive</w:t>
      </w:r>
      <w:r>
        <w:rPr>
          <w:i/>
          <w:spacing w:val="-6"/>
          <w:sz w:val="22"/>
        </w:rPr>
        <w:t> </w:t>
      </w:r>
      <w:r>
        <w:rPr>
          <w:i/>
          <w:sz w:val="22"/>
        </w:rPr>
        <w:t>sampling</w:t>
      </w:r>
      <w:r>
        <w:rPr>
          <w:i/>
          <w:spacing w:val="-5"/>
          <w:sz w:val="22"/>
        </w:rPr>
        <w:t> </w:t>
      </w:r>
      <w:r>
        <w:rPr>
          <w:i/>
          <w:sz w:val="22"/>
        </w:rPr>
        <w:t>technique</w:t>
      </w:r>
      <w:r>
        <w:rPr>
          <w:i/>
          <w:spacing w:val="-7"/>
          <w:sz w:val="22"/>
        </w:rPr>
        <w:t> </w:t>
      </w:r>
      <w:r>
        <w:rPr>
          <w:i/>
          <w:sz w:val="22"/>
        </w:rPr>
        <w:t>based</w:t>
      </w:r>
      <w:r>
        <w:rPr>
          <w:i/>
          <w:spacing w:val="-7"/>
          <w:sz w:val="22"/>
        </w:rPr>
        <w:t> </w:t>
      </w:r>
      <w:r>
        <w:rPr>
          <w:i/>
          <w:sz w:val="22"/>
        </w:rPr>
        <w:t>on</w:t>
      </w:r>
      <w:r>
        <w:rPr>
          <w:i/>
          <w:spacing w:val="-5"/>
          <w:sz w:val="22"/>
        </w:rPr>
        <w:t> </w:t>
      </w:r>
      <w:r>
        <w:rPr>
          <w:i/>
          <w:sz w:val="22"/>
        </w:rPr>
        <w:t>predetermined</w:t>
      </w:r>
      <w:r>
        <w:rPr>
          <w:i/>
          <w:spacing w:val="-7"/>
          <w:sz w:val="22"/>
        </w:rPr>
        <w:t> </w:t>
      </w:r>
      <w:r>
        <w:rPr>
          <w:i/>
          <w:sz w:val="22"/>
        </w:rPr>
        <w:t>inclusion criteria. The Data were collected using a structured questionnaire and analyzed through univariate and bivariate analyses using the Chi-Square test. The results of the Chi-Square analysis showed a p-value</w:t>
      </w:r>
      <w:r>
        <w:rPr>
          <w:i/>
          <w:spacing w:val="-8"/>
          <w:sz w:val="22"/>
        </w:rPr>
        <w:t> </w:t>
      </w:r>
      <w:r>
        <w:rPr>
          <w:i/>
          <w:sz w:val="22"/>
        </w:rPr>
        <w:t>of</w:t>
      </w:r>
      <w:r>
        <w:rPr>
          <w:i/>
          <w:spacing w:val="-5"/>
          <w:sz w:val="22"/>
        </w:rPr>
        <w:t> </w:t>
      </w:r>
      <w:r>
        <w:rPr>
          <w:i/>
          <w:sz w:val="22"/>
        </w:rPr>
        <w:t>0.001</w:t>
      </w:r>
      <w:r>
        <w:rPr>
          <w:i/>
          <w:spacing w:val="-6"/>
          <w:sz w:val="22"/>
        </w:rPr>
        <w:t> </w:t>
      </w:r>
      <w:r>
        <w:rPr>
          <w:i/>
          <w:sz w:val="22"/>
        </w:rPr>
        <w:t>for</w:t>
      </w:r>
      <w:r>
        <w:rPr>
          <w:i/>
          <w:spacing w:val="-6"/>
          <w:sz w:val="22"/>
        </w:rPr>
        <w:t> </w:t>
      </w:r>
      <w:r>
        <w:rPr>
          <w:i/>
          <w:sz w:val="22"/>
        </w:rPr>
        <w:t>the</w:t>
      </w:r>
      <w:r>
        <w:rPr>
          <w:i/>
          <w:spacing w:val="-6"/>
          <w:sz w:val="22"/>
        </w:rPr>
        <w:t> </w:t>
      </w:r>
      <w:r>
        <w:rPr>
          <w:i/>
          <w:sz w:val="22"/>
        </w:rPr>
        <w:t>knowledge</w:t>
      </w:r>
      <w:r>
        <w:rPr>
          <w:i/>
          <w:spacing w:val="-6"/>
          <w:sz w:val="22"/>
        </w:rPr>
        <w:t> </w:t>
      </w:r>
      <w:r>
        <w:rPr>
          <w:i/>
          <w:sz w:val="22"/>
        </w:rPr>
        <w:t>variable</w:t>
      </w:r>
      <w:r>
        <w:rPr>
          <w:i/>
          <w:spacing w:val="-6"/>
          <w:sz w:val="22"/>
        </w:rPr>
        <w:t> </w:t>
      </w:r>
      <w:r>
        <w:rPr>
          <w:i/>
          <w:sz w:val="22"/>
        </w:rPr>
        <w:t>and</w:t>
      </w:r>
      <w:r>
        <w:rPr>
          <w:i/>
          <w:spacing w:val="-6"/>
          <w:sz w:val="22"/>
        </w:rPr>
        <w:t> </w:t>
      </w:r>
      <w:r>
        <w:rPr>
          <w:i/>
          <w:sz w:val="22"/>
        </w:rPr>
        <w:t>0.012</w:t>
      </w:r>
      <w:r>
        <w:rPr>
          <w:i/>
          <w:spacing w:val="-9"/>
          <w:sz w:val="22"/>
        </w:rPr>
        <w:t> </w:t>
      </w:r>
      <w:r>
        <w:rPr>
          <w:i/>
          <w:sz w:val="22"/>
        </w:rPr>
        <w:t>for</w:t>
      </w:r>
      <w:r>
        <w:rPr>
          <w:i/>
          <w:spacing w:val="-8"/>
          <w:sz w:val="22"/>
        </w:rPr>
        <w:t> </w:t>
      </w:r>
      <w:r>
        <w:rPr>
          <w:i/>
          <w:sz w:val="22"/>
        </w:rPr>
        <w:t>the</w:t>
      </w:r>
      <w:r>
        <w:rPr>
          <w:i/>
          <w:spacing w:val="-6"/>
          <w:sz w:val="22"/>
        </w:rPr>
        <w:t> </w:t>
      </w:r>
      <w:r>
        <w:rPr>
          <w:i/>
          <w:sz w:val="22"/>
        </w:rPr>
        <w:t>attitude</w:t>
      </w:r>
      <w:r>
        <w:rPr>
          <w:i/>
          <w:spacing w:val="-6"/>
          <w:sz w:val="22"/>
        </w:rPr>
        <w:t> </w:t>
      </w:r>
      <w:r>
        <w:rPr>
          <w:i/>
          <w:sz w:val="22"/>
        </w:rPr>
        <w:t>variable</w:t>
      </w:r>
      <w:r>
        <w:rPr>
          <w:i/>
          <w:spacing w:val="-6"/>
          <w:sz w:val="22"/>
        </w:rPr>
        <w:t> </w:t>
      </w:r>
      <w:r>
        <w:rPr>
          <w:i/>
          <w:sz w:val="22"/>
        </w:rPr>
        <w:t>(p</w:t>
      </w:r>
      <w:r>
        <w:rPr>
          <w:i/>
          <w:spacing w:val="-6"/>
          <w:sz w:val="22"/>
        </w:rPr>
        <w:t> </w:t>
      </w:r>
      <w:r>
        <w:rPr>
          <w:i/>
          <w:sz w:val="22"/>
        </w:rPr>
        <w:t>&lt;</w:t>
      </w:r>
      <w:r>
        <w:rPr>
          <w:i/>
          <w:spacing w:val="-6"/>
          <w:sz w:val="22"/>
        </w:rPr>
        <w:t> </w:t>
      </w:r>
      <w:r>
        <w:rPr>
          <w:i/>
          <w:sz w:val="22"/>
        </w:rPr>
        <w:t>0.05).</w:t>
      </w:r>
      <w:r>
        <w:rPr>
          <w:i/>
          <w:spacing w:val="-6"/>
          <w:sz w:val="22"/>
        </w:rPr>
        <w:t> </w:t>
      </w:r>
      <w:r>
        <w:rPr>
          <w:i/>
          <w:sz w:val="22"/>
        </w:rPr>
        <w:t>These</w:t>
      </w:r>
      <w:r>
        <w:rPr>
          <w:i/>
          <w:spacing w:val="-5"/>
          <w:sz w:val="22"/>
        </w:rPr>
        <w:t> </w:t>
      </w:r>
      <w:r>
        <w:rPr>
          <w:i/>
          <w:sz w:val="22"/>
        </w:rPr>
        <w:t>findings indicate that there is a statistically significant relationship between knowledge and attitudes and household</w:t>
      </w:r>
      <w:r>
        <w:rPr>
          <w:i/>
          <w:spacing w:val="-12"/>
          <w:sz w:val="22"/>
        </w:rPr>
        <w:t> </w:t>
      </w:r>
      <w:r>
        <w:rPr>
          <w:i/>
          <w:sz w:val="22"/>
        </w:rPr>
        <w:t>waste</w:t>
      </w:r>
      <w:r>
        <w:rPr>
          <w:i/>
          <w:spacing w:val="-12"/>
          <w:sz w:val="22"/>
        </w:rPr>
        <w:t> </w:t>
      </w:r>
      <w:r>
        <w:rPr>
          <w:i/>
          <w:sz w:val="22"/>
        </w:rPr>
        <w:t>management</w:t>
      </w:r>
      <w:r>
        <w:rPr>
          <w:i/>
          <w:spacing w:val="-11"/>
          <w:sz w:val="22"/>
        </w:rPr>
        <w:t> </w:t>
      </w:r>
      <w:r>
        <w:rPr>
          <w:i/>
          <w:sz w:val="22"/>
        </w:rPr>
        <w:t>in</w:t>
      </w:r>
      <w:r>
        <w:rPr>
          <w:i/>
          <w:spacing w:val="-14"/>
          <w:sz w:val="22"/>
        </w:rPr>
        <w:t> </w:t>
      </w:r>
      <w:r>
        <w:rPr>
          <w:i/>
          <w:sz w:val="22"/>
        </w:rPr>
        <w:t>Wek</w:t>
      </w:r>
      <w:r>
        <w:rPr>
          <w:i/>
          <w:spacing w:val="-14"/>
          <w:sz w:val="22"/>
        </w:rPr>
        <w:t> </w:t>
      </w:r>
      <w:r>
        <w:rPr>
          <w:i/>
          <w:sz w:val="22"/>
        </w:rPr>
        <w:t>II</w:t>
      </w:r>
      <w:r>
        <w:rPr>
          <w:i/>
          <w:spacing w:val="-11"/>
          <w:sz w:val="22"/>
        </w:rPr>
        <w:t> </w:t>
      </w:r>
      <w:r>
        <w:rPr>
          <w:i/>
          <w:sz w:val="22"/>
        </w:rPr>
        <w:t>Village,</w:t>
      </w:r>
      <w:r>
        <w:rPr>
          <w:i/>
          <w:spacing w:val="-12"/>
          <w:sz w:val="22"/>
        </w:rPr>
        <w:t> </w:t>
      </w:r>
      <w:r>
        <w:rPr>
          <w:i/>
          <w:sz w:val="22"/>
        </w:rPr>
        <w:t>Padangsidimpuan</w:t>
      </w:r>
      <w:r>
        <w:rPr>
          <w:i/>
          <w:spacing w:val="-9"/>
          <w:sz w:val="22"/>
        </w:rPr>
        <w:t> </w:t>
      </w:r>
      <w:r>
        <w:rPr>
          <w:i/>
          <w:sz w:val="22"/>
        </w:rPr>
        <w:t>2026.</w:t>
      </w:r>
      <w:r>
        <w:rPr>
          <w:i/>
          <w:spacing w:val="-12"/>
          <w:sz w:val="22"/>
        </w:rPr>
        <w:t> </w:t>
      </w:r>
      <w:r>
        <w:rPr>
          <w:i/>
          <w:sz w:val="22"/>
        </w:rPr>
        <w:t>In</w:t>
      </w:r>
      <w:r>
        <w:rPr>
          <w:i/>
          <w:spacing w:val="-12"/>
          <w:sz w:val="22"/>
        </w:rPr>
        <w:t> </w:t>
      </w:r>
      <w:r>
        <w:rPr>
          <w:i/>
          <w:sz w:val="22"/>
        </w:rPr>
        <w:t>conclusion,</w:t>
      </w:r>
      <w:r>
        <w:rPr>
          <w:i/>
          <w:spacing w:val="-12"/>
          <w:sz w:val="22"/>
        </w:rPr>
        <w:t> </w:t>
      </w:r>
      <w:r>
        <w:rPr>
          <w:i/>
          <w:sz w:val="22"/>
        </w:rPr>
        <w:t>knowledge</w:t>
      </w:r>
      <w:r>
        <w:rPr>
          <w:i/>
          <w:spacing w:val="-12"/>
          <w:sz w:val="22"/>
        </w:rPr>
        <w:t> </w:t>
      </w:r>
      <w:r>
        <w:rPr>
          <w:i/>
          <w:sz w:val="22"/>
        </w:rPr>
        <w:t>and attitudes are significantly associated with household waste management practices. Therefore, increasing public understanding of proper waste management is essential to promote a healthier and cleaner environment.</w:t>
      </w:r>
    </w:p>
    <w:p>
      <w:pPr>
        <w:spacing w:line="252" w:lineRule="exact" w:before="0"/>
        <w:ind w:left="23" w:right="0" w:firstLine="0"/>
        <w:jc w:val="left"/>
        <w:rPr>
          <w:i/>
          <w:sz w:val="22"/>
        </w:rPr>
      </w:pPr>
      <w:r>
        <w:rPr>
          <w:b/>
          <w:i/>
          <w:sz w:val="22"/>
        </w:rPr>
        <w:t>Keywords:</w:t>
      </w:r>
      <w:r>
        <w:rPr>
          <w:b/>
          <w:i/>
          <w:spacing w:val="-7"/>
          <w:sz w:val="22"/>
        </w:rPr>
        <w:t> </w:t>
      </w:r>
      <w:r>
        <w:rPr>
          <w:i/>
          <w:sz w:val="22"/>
        </w:rPr>
        <w:t>Knowledge,</w:t>
      </w:r>
      <w:r>
        <w:rPr>
          <w:i/>
          <w:spacing w:val="-8"/>
          <w:sz w:val="22"/>
        </w:rPr>
        <w:t> </w:t>
      </w:r>
      <w:r>
        <w:rPr>
          <w:i/>
          <w:sz w:val="22"/>
        </w:rPr>
        <w:t>Attitude,</w:t>
      </w:r>
      <w:r>
        <w:rPr>
          <w:i/>
          <w:spacing w:val="-5"/>
          <w:sz w:val="22"/>
        </w:rPr>
        <w:t> </w:t>
      </w:r>
      <w:r>
        <w:rPr>
          <w:i/>
          <w:sz w:val="22"/>
        </w:rPr>
        <w:t>Household</w:t>
      </w:r>
      <w:r>
        <w:rPr>
          <w:i/>
          <w:spacing w:val="-8"/>
          <w:sz w:val="22"/>
        </w:rPr>
        <w:t> </w:t>
      </w:r>
      <w:r>
        <w:rPr>
          <w:i/>
          <w:sz w:val="22"/>
        </w:rPr>
        <w:t>Waste</w:t>
      </w:r>
      <w:r>
        <w:rPr>
          <w:i/>
          <w:spacing w:val="-7"/>
          <w:sz w:val="22"/>
        </w:rPr>
        <w:t> </w:t>
      </w:r>
      <w:r>
        <w:rPr>
          <w:i/>
          <w:spacing w:val="-2"/>
          <w:sz w:val="22"/>
        </w:rPr>
        <w:t>Management</w:t>
      </w:r>
    </w:p>
    <w:p>
      <w:pPr>
        <w:spacing w:before="18"/>
        <w:ind w:left="23" w:right="0" w:firstLine="0"/>
        <w:jc w:val="left"/>
        <w:rPr>
          <w:sz w:val="22"/>
        </w:rPr>
      </w:pPr>
      <w:r>
        <w:rPr>
          <w:spacing w:val="-10"/>
          <w:sz w:val="22"/>
        </w:rPr>
        <w:t>.</w:t>
      </w:r>
    </w:p>
    <w:p>
      <w:pPr>
        <w:spacing w:after="0"/>
        <w:jc w:val="left"/>
        <w:rPr>
          <w:sz w:val="22"/>
        </w:rPr>
        <w:sectPr>
          <w:type w:val="continuous"/>
          <w:pgSz w:w="11910" w:h="16840"/>
          <w:pgMar w:top="1360" w:bottom="280" w:left="1417" w:right="1275"/>
        </w:sectPr>
      </w:pPr>
    </w:p>
    <w:p>
      <w:pPr>
        <w:pStyle w:val="Heading1"/>
        <w:numPr>
          <w:ilvl w:val="0"/>
          <w:numId w:val="1"/>
        </w:numPr>
        <w:tabs>
          <w:tab w:pos="450" w:val="left" w:leader="none"/>
        </w:tabs>
        <w:spacing w:line="240" w:lineRule="auto" w:before="19" w:after="0"/>
        <w:ind w:left="450" w:right="0" w:hanging="427"/>
        <w:jc w:val="left"/>
      </w:pPr>
      <w:r>
        <w:rPr>
          <w:spacing w:val="-2"/>
        </w:rPr>
        <w:t>PENDAHULUAN</w:t>
      </w:r>
    </w:p>
    <w:p>
      <w:pPr>
        <w:pStyle w:val="BodyText"/>
        <w:spacing w:before="181"/>
        <w:ind w:firstLine="719"/>
      </w:pPr>
      <w:r>
        <w:rPr/>
        <w:t>Stroke Menurut laporan dari United Nations Environment Programme (UNEP) lebih dari dua miliar orang di dunia tidak memiliki</w:t>
      </w:r>
      <w:r>
        <w:rPr>
          <w:spacing w:val="-2"/>
        </w:rPr>
        <w:t> </w:t>
      </w:r>
      <w:r>
        <w:rPr/>
        <w:t>akses</w:t>
      </w:r>
      <w:r>
        <w:rPr>
          <w:spacing w:val="-4"/>
        </w:rPr>
        <w:t> </w:t>
      </w:r>
      <w:r>
        <w:rPr/>
        <w:t>terhadap</w:t>
      </w:r>
      <w:r>
        <w:rPr>
          <w:spacing w:val="-3"/>
        </w:rPr>
        <w:t> </w:t>
      </w:r>
      <w:r>
        <w:rPr/>
        <w:t>layanan</w:t>
      </w:r>
      <w:r>
        <w:rPr>
          <w:spacing w:val="-3"/>
        </w:rPr>
        <w:t> </w:t>
      </w:r>
      <w:r>
        <w:rPr/>
        <w:t>pengumpulan sampah</w:t>
      </w:r>
      <w:r>
        <w:rPr>
          <w:spacing w:val="-12"/>
        </w:rPr>
        <w:t> </w:t>
      </w:r>
      <w:r>
        <w:rPr/>
        <w:t>yang</w:t>
      </w:r>
      <w:r>
        <w:rPr>
          <w:spacing w:val="-13"/>
        </w:rPr>
        <w:t> </w:t>
      </w:r>
      <w:r>
        <w:rPr/>
        <w:t>memadai.</w:t>
      </w:r>
      <w:r>
        <w:rPr>
          <w:spacing w:val="-12"/>
        </w:rPr>
        <w:t> </w:t>
      </w:r>
      <w:r>
        <w:rPr/>
        <w:t>Diperkirakan,</w:t>
      </w:r>
      <w:r>
        <w:rPr>
          <w:spacing w:val="-12"/>
        </w:rPr>
        <w:t> </w:t>
      </w:r>
      <w:r>
        <w:rPr/>
        <w:t>produksi sampah</w:t>
      </w:r>
      <w:r>
        <w:rPr>
          <w:spacing w:val="-8"/>
        </w:rPr>
        <w:t> </w:t>
      </w:r>
      <w:r>
        <w:rPr/>
        <w:t>kota</w:t>
      </w:r>
      <w:r>
        <w:rPr>
          <w:spacing w:val="-8"/>
        </w:rPr>
        <w:t> </w:t>
      </w:r>
      <w:r>
        <w:rPr/>
        <w:t>secara</w:t>
      </w:r>
      <w:r>
        <w:rPr>
          <w:spacing w:val="-8"/>
        </w:rPr>
        <w:t> </w:t>
      </w:r>
      <w:r>
        <w:rPr/>
        <w:t>global</w:t>
      </w:r>
      <w:r>
        <w:rPr>
          <w:spacing w:val="-8"/>
        </w:rPr>
        <w:t> </w:t>
      </w:r>
      <w:r>
        <w:rPr/>
        <w:t>akan</w:t>
      </w:r>
      <w:r>
        <w:rPr>
          <w:spacing w:val="-9"/>
        </w:rPr>
        <w:t> </w:t>
      </w:r>
      <w:r>
        <w:rPr/>
        <w:t>meningkat</w:t>
      </w:r>
      <w:r>
        <w:rPr>
          <w:spacing w:val="-6"/>
        </w:rPr>
        <w:t> </w:t>
      </w:r>
      <w:r>
        <w:rPr/>
        <w:t>dari 2,1 miliar ton pada tahun 2023 menjadi 3,8 miliar ton pada tahun 2050 (UNEP, 2024).</w:t>
      </w:r>
    </w:p>
    <w:p>
      <w:pPr>
        <w:pStyle w:val="BodyText"/>
        <w:spacing w:before="18"/>
        <w:ind w:right="160" w:firstLine="720"/>
      </w:pPr>
      <w:r>
        <w:rPr/>
        <w:br w:type="column"/>
      </w:r>
      <w:r>
        <w:rPr/>
        <w:t>Negara-negara penghasil sampah terbesar</w:t>
      </w:r>
      <w:r>
        <w:rPr>
          <w:spacing w:val="-14"/>
        </w:rPr>
        <w:t> </w:t>
      </w:r>
      <w:r>
        <w:rPr/>
        <w:t>di</w:t>
      </w:r>
      <w:r>
        <w:rPr>
          <w:spacing w:val="-14"/>
        </w:rPr>
        <w:t> </w:t>
      </w:r>
      <w:r>
        <w:rPr/>
        <w:t>dunia</w:t>
      </w:r>
      <w:r>
        <w:rPr>
          <w:spacing w:val="-14"/>
        </w:rPr>
        <w:t> </w:t>
      </w:r>
      <w:r>
        <w:rPr/>
        <w:t>menunjukkan</w:t>
      </w:r>
      <w:r>
        <w:rPr>
          <w:spacing w:val="-13"/>
        </w:rPr>
        <w:t> </w:t>
      </w:r>
      <w:r>
        <w:rPr/>
        <w:t>tantangan</w:t>
      </w:r>
      <w:r>
        <w:rPr>
          <w:spacing w:val="-14"/>
        </w:rPr>
        <w:t> </w:t>
      </w:r>
      <w:r>
        <w:rPr/>
        <w:t>serius dalam pengelolaan limbah. Berdasarkan laporan Bank Dunia, Tiongkok berada di peringkat pertama dengan produksi sampah mencapai 392 juta ton per tahun, diikuti oleh Amerika Serikat (265 juta ton), India (189 juta ton), Brasil (79 juta ton), dan Indonesia (65,2 juta ton) sebagai negara penghasil sampah </w:t>
      </w:r>
      <w:r>
        <w:rPr>
          <w:spacing w:val="-2"/>
        </w:rPr>
        <w:t>terbesar</w:t>
      </w:r>
      <w:r>
        <w:rPr>
          <w:spacing w:val="-3"/>
        </w:rPr>
        <w:t> </w:t>
      </w:r>
      <w:r>
        <w:rPr>
          <w:spacing w:val="-2"/>
        </w:rPr>
        <w:t>kelima</w:t>
      </w:r>
      <w:r>
        <w:rPr>
          <w:spacing w:val="-4"/>
        </w:rPr>
        <w:t> </w:t>
      </w:r>
      <w:r>
        <w:rPr>
          <w:spacing w:val="-2"/>
        </w:rPr>
        <w:t>di</w:t>
      </w:r>
      <w:r>
        <w:rPr>
          <w:spacing w:val="-4"/>
        </w:rPr>
        <w:t> </w:t>
      </w:r>
      <w:r>
        <w:rPr>
          <w:spacing w:val="-2"/>
        </w:rPr>
        <w:t>dunia.</w:t>
      </w:r>
      <w:r>
        <w:rPr>
          <w:spacing w:val="-4"/>
        </w:rPr>
        <w:t> </w:t>
      </w:r>
      <w:r>
        <w:rPr>
          <w:spacing w:val="-2"/>
        </w:rPr>
        <w:t>Produksi</w:t>
      </w:r>
      <w:r>
        <w:rPr>
          <w:spacing w:val="-3"/>
        </w:rPr>
        <w:t> </w:t>
      </w:r>
      <w:r>
        <w:rPr>
          <w:spacing w:val="-2"/>
        </w:rPr>
        <w:t>sampah</w:t>
      </w:r>
      <w:r>
        <w:rPr>
          <w:spacing w:val="-5"/>
        </w:rPr>
        <w:t> </w:t>
      </w:r>
      <w:r>
        <w:rPr>
          <w:spacing w:val="-4"/>
        </w:rPr>
        <w:t>yang</w:t>
      </w:r>
    </w:p>
    <w:p>
      <w:pPr>
        <w:pStyle w:val="BodyText"/>
        <w:spacing w:after="0"/>
        <w:sectPr>
          <w:type w:val="continuous"/>
          <w:pgSz w:w="11910" w:h="16840"/>
          <w:pgMar w:top="1360" w:bottom="280" w:left="1417" w:right="1275"/>
          <w:cols w:num="2" w:equalWidth="0">
            <w:col w:w="4184" w:space="684"/>
            <w:col w:w="4350"/>
          </w:cols>
        </w:sectPr>
      </w:pPr>
    </w:p>
    <w:p>
      <w:pPr>
        <w:pStyle w:val="BodyText"/>
        <w:spacing w:before="175"/>
        <w:ind w:left="0"/>
        <w:jc w:val="left"/>
      </w:pPr>
    </w:p>
    <w:p>
      <w:pPr>
        <w:pStyle w:val="BodyText"/>
        <w:ind w:left="1" w:right="139"/>
        <w:jc w:val="center"/>
        <w:rPr>
          <w:rFonts w:ascii="Calibri"/>
        </w:rPr>
      </w:pPr>
      <w:r>
        <w:rPr>
          <w:rFonts w:ascii="Calibri"/>
          <w:spacing w:val="-10"/>
        </w:rPr>
        <w:t>1</w:t>
      </w:r>
    </w:p>
    <w:p>
      <w:pPr>
        <w:pStyle w:val="BodyText"/>
        <w:spacing w:after="0"/>
        <w:jc w:val="center"/>
        <w:rPr>
          <w:rFonts w:ascii="Calibri"/>
        </w:rPr>
        <w:sectPr>
          <w:type w:val="continuous"/>
          <w:pgSz w:w="11910" w:h="16840"/>
          <w:pgMar w:top="1360" w:bottom="280" w:left="1417" w:right="1275"/>
        </w:sectPr>
      </w:pPr>
    </w:p>
    <w:p>
      <w:pPr>
        <w:pStyle w:val="BodyText"/>
        <w:spacing w:before="80"/>
      </w:pPr>
      <w:r>
        <w:rPr/>
        <w:t>tinggi umumnya berasal dari negara dengan populasi besar dan gaya hidup konsumtif. Sebagai contoh, meskipun penduduk Amerika Serikat hanya sekitar 5% dari populasi dunia, negara</w:t>
      </w:r>
      <w:r>
        <w:rPr>
          <w:spacing w:val="-11"/>
        </w:rPr>
        <w:t> </w:t>
      </w:r>
      <w:r>
        <w:rPr/>
        <w:t>ini</w:t>
      </w:r>
      <w:r>
        <w:rPr>
          <w:spacing w:val="-12"/>
        </w:rPr>
        <w:t> </w:t>
      </w:r>
      <w:r>
        <w:rPr/>
        <w:t>menghasilkan</w:t>
      </w:r>
      <w:r>
        <w:rPr>
          <w:spacing w:val="-8"/>
        </w:rPr>
        <w:t> </w:t>
      </w:r>
      <w:r>
        <w:rPr/>
        <w:t>14%</w:t>
      </w:r>
      <w:r>
        <w:rPr>
          <w:spacing w:val="-8"/>
        </w:rPr>
        <w:t> </w:t>
      </w:r>
      <w:r>
        <w:rPr/>
        <w:t>dari</w:t>
      </w:r>
      <w:r>
        <w:rPr>
          <w:spacing w:val="-10"/>
        </w:rPr>
        <w:t> </w:t>
      </w:r>
      <w:r>
        <w:rPr/>
        <w:t>total</w:t>
      </w:r>
      <w:r>
        <w:rPr>
          <w:spacing w:val="-10"/>
        </w:rPr>
        <w:t> </w:t>
      </w:r>
      <w:r>
        <w:rPr/>
        <w:t>sampah global (Annur, 2023).</w:t>
      </w:r>
    </w:p>
    <w:p>
      <w:pPr>
        <w:pStyle w:val="BodyText"/>
        <w:ind w:firstLine="719"/>
      </w:pPr>
      <w:r>
        <w:rPr/>
        <w:t>Di</w:t>
      </w:r>
      <w:r>
        <w:rPr>
          <w:spacing w:val="-14"/>
        </w:rPr>
        <w:t> </w:t>
      </w:r>
      <w:r>
        <w:rPr/>
        <w:t>Indonesia,</w:t>
      </w:r>
      <w:r>
        <w:rPr>
          <w:spacing w:val="-14"/>
        </w:rPr>
        <w:t> </w:t>
      </w:r>
      <w:r>
        <w:rPr/>
        <w:t>isu</w:t>
      </w:r>
      <w:r>
        <w:rPr>
          <w:spacing w:val="-14"/>
        </w:rPr>
        <w:t> </w:t>
      </w:r>
      <w:r>
        <w:rPr/>
        <w:t>sampah</w:t>
      </w:r>
      <w:r>
        <w:rPr>
          <w:spacing w:val="-13"/>
        </w:rPr>
        <w:t> </w:t>
      </w:r>
      <w:r>
        <w:rPr/>
        <w:t>rumah</w:t>
      </w:r>
      <w:r>
        <w:rPr>
          <w:spacing w:val="-14"/>
        </w:rPr>
        <w:t> </w:t>
      </w:r>
      <w:r>
        <w:rPr/>
        <w:t>tangga menjadi</w:t>
      </w:r>
      <w:r>
        <w:rPr>
          <w:spacing w:val="-9"/>
        </w:rPr>
        <w:t> </w:t>
      </w:r>
      <w:r>
        <w:rPr/>
        <w:t>masalah</w:t>
      </w:r>
      <w:r>
        <w:rPr>
          <w:spacing w:val="-7"/>
        </w:rPr>
        <w:t> </w:t>
      </w:r>
      <w:r>
        <w:rPr/>
        <w:t>serius</w:t>
      </w:r>
      <w:r>
        <w:rPr>
          <w:spacing w:val="-7"/>
        </w:rPr>
        <w:t> </w:t>
      </w:r>
      <w:r>
        <w:rPr/>
        <w:t>yang</w:t>
      </w:r>
      <w:r>
        <w:rPr>
          <w:spacing w:val="-7"/>
        </w:rPr>
        <w:t> </w:t>
      </w:r>
      <w:r>
        <w:rPr/>
        <w:t>terus</w:t>
      </w:r>
      <w:r>
        <w:rPr>
          <w:spacing w:val="-9"/>
        </w:rPr>
        <w:t> </w:t>
      </w:r>
      <w:r>
        <w:rPr/>
        <w:t>berkembang seiring dengan pertumbuhan populasi dan urbanisasi. Setiap tahun, jumlah sampah yang dihasilkan terus meningkat, pada tahun 2021 Indonesia menghasilkan sekitar 13 juta ton sampah, sedangkan pada tahun 2022 sebanyak 18 juta ton, pada tahun 2023 sebanyak 23 juta ton dan pada 2024 jumlahnya meningkat menjadi sekitar 36 juta ton. Sumber timbulan sampah</w:t>
      </w:r>
      <w:r>
        <w:rPr>
          <w:spacing w:val="-14"/>
        </w:rPr>
        <w:t> </w:t>
      </w:r>
      <w:r>
        <w:rPr/>
        <w:t>terbesar</w:t>
      </w:r>
      <w:r>
        <w:rPr>
          <w:spacing w:val="-12"/>
        </w:rPr>
        <w:t> </w:t>
      </w:r>
      <w:r>
        <w:rPr/>
        <w:t>adalah</w:t>
      </w:r>
      <w:r>
        <w:rPr>
          <w:spacing w:val="-11"/>
        </w:rPr>
        <w:t> </w:t>
      </w:r>
      <w:r>
        <w:rPr/>
        <w:t>sampah</w:t>
      </w:r>
      <w:r>
        <w:rPr>
          <w:spacing w:val="-12"/>
        </w:rPr>
        <w:t> </w:t>
      </w:r>
      <w:r>
        <w:rPr/>
        <w:t>Rumah</w:t>
      </w:r>
      <w:r>
        <w:rPr>
          <w:spacing w:val="-14"/>
        </w:rPr>
        <w:t> </w:t>
      </w:r>
      <w:r>
        <w:rPr/>
        <w:t>Tangga (55,4%),</w:t>
      </w:r>
      <w:r>
        <w:rPr>
          <w:spacing w:val="39"/>
        </w:rPr>
        <w:t> </w:t>
      </w:r>
      <w:r>
        <w:rPr/>
        <w:t>Pasar</w:t>
      </w:r>
      <w:r>
        <w:rPr>
          <w:spacing w:val="37"/>
        </w:rPr>
        <w:t> </w:t>
      </w:r>
      <w:r>
        <w:rPr/>
        <w:t>(14,8%),</w:t>
      </w:r>
      <w:r>
        <w:rPr>
          <w:spacing w:val="39"/>
        </w:rPr>
        <w:t> </w:t>
      </w:r>
      <w:r>
        <w:rPr/>
        <w:t>Perniagaan</w:t>
      </w:r>
      <w:r>
        <w:rPr>
          <w:spacing w:val="40"/>
        </w:rPr>
        <w:t> </w:t>
      </w:r>
      <w:r>
        <w:rPr>
          <w:spacing w:val="-2"/>
        </w:rPr>
        <w:t>(10,2%),</w:t>
      </w:r>
    </w:p>
    <w:p>
      <w:pPr>
        <w:pStyle w:val="BodyText"/>
      </w:pPr>
      <w:r>
        <w:rPr/>
        <w:t>Kawasan</w:t>
      </w:r>
      <w:r>
        <w:rPr>
          <w:spacing w:val="53"/>
        </w:rPr>
        <w:t> </w:t>
      </w:r>
      <w:r>
        <w:rPr/>
        <w:t>(10%),</w:t>
      </w:r>
      <w:r>
        <w:rPr>
          <w:spacing w:val="54"/>
        </w:rPr>
        <w:t> </w:t>
      </w:r>
      <w:r>
        <w:rPr/>
        <w:t>Perkantoran</w:t>
      </w:r>
      <w:r>
        <w:rPr>
          <w:spacing w:val="53"/>
        </w:rPr>
        <w:t> </w:t>
      </w:r>
      <w:r>
        <w:rPr/>
        <w:t>(4%),</w:t>
      </w:r>
      <w:r>
        <w:rPr>
          <w:spacing w:val="54"/>
        </w:rPr>
        <w:t> </w:t>
      </w:r>
      <w:r>
        <w:rPr>
          <w:spacing w:val="-2"/>
        </w:rPr>
        <w:t>Fasilitas</w:t>
      </w:r>
    </w:p>
    <w:p>
      <w:pPr>
        <w:pStyle w:val="BodyText"/>
        <w:spacing w:line="252" w:lineRule="exact" w:before="2"/>
      </w:pPr>
      <w:r>
        <w:rPr/>
        <w:t>Publik</w:t>
      </w:r>
      <w:r>
        <w:rPr>
          <w:spacing w:val="32"/>
        </w:rPr>
        <w:t>  </w:t>
      </w:r>
      <w:r>
        <w:rPr/>
        <w:t>(3,8%)</w:t>
      </w:r>
      <w:r>
        <w:rPr>
          <w:spacing w:val="33"/>
        </w:rPr>
        <w:t>  </w:t>
      </w:r>
      <w:r>
        <w:rPr/>
        <w:t>dan</w:t>
      </w:r>
      <w:r>
        <w:rPr>
          <w:spacing w:val="34"/>
        </w:rPr>
        <w:t>  </w:t>
      </w:r>
      <w:r>
        <w:rPr/>
        <w:t>lainnya</w:t>
      </w:r>
      <w:r>
        <w:rPr>
          <w:spacing w:val="33"/>
        </w:rPr>
        <w:t>  </w:t>
      </w:r>
      <w:r>
        <w:rPr/>
        <w:t>sebesar</w:t>
      </w:r>
      <w:r>
        <w:rPr>
          <w:spacing w:val="34"/>
        </w:rPr>
        <w:t>  </w:t>
      </w:r>
      <w:r>
        <w:rPr>
          <w:spacing w:val="-4"/>
        </w:rPr>
        <w:t>1,4%</w:t>
      </w:r>
    </w:p>
    <w:p>
      <w:pPr>
        <w:pStyle w:val="BodyText"/>
        <w:spacing w:line="252" w:lineRule="exact"/>
      </w:pPr>
      <w:r>
        <w:rPr/>
        <w:t>(SIPSN</w:t>
      </w:r>
      <w:r>
        <w:rPr>
          <w:spacing w:val="-8"/>
        </w:rPr>
        <w:t> </w:t>
      </w:r>
      <w:r>
        <w:rPr>
          <w:spacing w:val="-2"/>
        </w:rPr>
        <w:t>2025).</w:t>
      </w:r>
    </w:p>
    <w:p>
      <w:pPr>
        <w:pStyle w:val="BodyText"/>
        <w:spacing w:before="1"/>
        <w:ind w:firstLine="719"/>
      </w:pPr>
      <w:r>
        <w:rPr/>
        <w:t>Timbulan sampah yang dibiarkan dan tidak</w:t>
      </w:r>
      <w:r>
        <w:rPr>
          <w:spacing w:val="-13"/>
        </w:rPr>
        <w:t> </w:t>
      </w:r>
      <w:r>
        <w:rPr/>
        <w:t>segera</w:t>
      </w:r>
      <w:r>
        <w:rPr>
          <w:spacing w:val="-13"/>
        </w:rPr>
        <w:t> </w:t>
      </w:r>
      <w:r>
        <w:rPr/>
        <w:t>ditangani</w:t>
      </w:r>
      <w:r>
        <w:rPr>
          <w:spacing w:val="-13"/>
        </w:rPr>
        <w:t> </w:t>
      </w:r>
      <w:r>
        <w:rPr/>
        <w:t>dengan</w:t>
      </w:r>
      <w:r>
        <w:rPr>
          <w:spacing w:val="-13"/>
        </w:rPr>
        <w:t> </w:t>
      </w:r>
      <w:r>
        <w:rPr/>
        <w:t>serius,</w:t>
      </w:r>
      <w:r>
        <w:rPr>
          <w:spacing w:val="-13"/>
        </w:rPr>
        <w:t> </w:t>
      </w:r>
      <w:r>
        <w:rPr/>
        <w:t>akan</w:t>
      </w:r>
      <w:r>
        <w:rPr>
          <w:spacing w:val="-13"/>
        </w:rPr>
        <w:t> </w:t>
      </w:r>
      <w:r>
        <w:rPr/>
        <w:t>terus meningkat seiring dengan laju pertumbuhan penduduk.</w:t>
      </w:r>
      <w:r>
        <w:rPr>
          <w:spacing w:val="40"/>
        </w:rPr>
        <w:t> </w:t>
      </w:r>
      <w:r>
        <w:rPr/>
        <w:t>Penanganan sampah yang </w:t>
      </w:r>
      <w:r>
        <w:rPr/>
        <w:t>tidak dilakukan dengan baik pun akan mengakibatkan</w:t>
      </w:r>
      <w:r>
        <w:rPr>
          <w:spacing w:val="40"/>
        </w:rPr>
        <w:t> </w:t>
      </w:r>
      <w:r>
        <w:rPr/>
        <w:t>masalah yang cukup serius. Penumpukan</w:t>
      </w:r>
      <w:r>
        <w:rPr>
          <w:spacing w:val="-14"/>
        </w:rPr>
        <w:t> </w:t>
      </w:r>
      <w:r>
        <w:rPr/>
        <w:t>sampah</w:t>
      </w:r>
      <w:r>
        <w:rPr>
          <w:spacing w:val="-14"/>
        </w:rPr>
        <w:t> </w:t>
      </w:r>
      <w:r>
        <w:rPr/>
        <w:t>akibat</w:t>
      </w:r>
      <w:r>
        <w:rPr>
          <w:spacing w:val="-14"/>
        </w:rPr>
        <w:t> </w:t>
      </w:r>
      <w:r>
        <w:rPr/>
        <w:t>tidak</w:t>
      </w:r>
      <w:r>
        <w:rPr>
          <w:spacing w:val="-13"/>
        </w:rPr>
        <w:t> </w:t>
      </w:r>
      <w:r>
        <w:rPr/>
        <w:t>ditangani</w:t>
      </w:r>
      <w:r>
        <w:rPr>
          <w:spacing w:val="-14"/>
        </w:rPr>
        <w:t> </w:t>
      </w:r>
      <w:r>
        <w:rPr/>
        <w:t>dan juga penanganan sampah yang tidak baik seperti membuang sampah sembarang ataupun pengolahan dengan cara dibakar akan mengakibatkan pencemaran lingkungan, baik tanah, air maupun udara (Sriagustini, 2022).</w:t>
      </w:r>
    </w:p>
    <w:p>
      <w:pPr>
        <w:pStyle w:val="BodyText"/>
        <w:ind w:firstLine="719"/>
      </w:pPr>
      <w:r>
        <w:rPr/>
        <w:t>Sampah yang tidak dikelola secara efektif dan tepat menjadi salah satu sumber utama pencemaran lingkungan yang sangat mengancam</w:t>
      </w:r>
      <w:r>
        <w:rPr>
          <w:spacing w:val="-4"/>
        </w:rPr>
        <w:t> </w:t>
      </w:r>
      <w:r>
        <w:rPr/>
        <w:t>kelangsungan</w:t>
      </w:r>
      <w:r>
        <w:rPr>
          <w:spacing w:val="-7"/>
        </w:rPr>
        <w:t> </w:t>
      </w:r>
      <w:r>
        <w:rPr/>
        <w:t>hidup</w:t>
      </w:r>
      <w:r>
        <w:rPr>
          <w:spacing w:val="-5"/>
        </w:rPr>
        <w:t> </w:t>
      </w:r>
      <w:r>
        <w:rPr/>
        <w:t>manusia</w:t>
      </w:r>
      <w:r>
        <w:rPr>
          <w:spacing w:val="-5"/>
        </w:rPr>
        <w:t> </w:t>
      </w:r>
      <w:r>
        <w:rPr/>
        <w:t>serta berbagai makhluk hidup lainnya di bumi. Ketidakteraturan dalam pengelolaan sampah, terutama</w:t>
      </w:r>
      <w:r>
        <w:rPr>
          <w:spacing w:val="-11"/>
        </w:rPr>
        <w:t> </w:t>
      </w:r>
      <w:r>
        <w:rPr/>
        <w:t>disebabkan</w:t>
      </w:r>
      <w:r>
        <w:rPr>
          <w:spacing w:val="-11"/>
        </w:rPr>
        <w:t> </w:t>
      </w:r>
      <w:r>
        <w:rPr/>
        <w:t>oleh</w:t>
      </w:r>
      <w:r>
        <w:rPr>
          <w:spacing w:val="-11"/>
        </w:rPr>
        <w:t> </w:t>
      </w:r>
      <w:r>
        <w:rPr/>
        <w:t>kurangnya</w:t>
      </w:r>
      <w:r>
        <w:rPr>
          <w:spacing w:val="-11"/>
        </w:rPr>
        <w:t> </w:t>
      </w:r>
      <w:r>
        <w:rPr/>
        <w:t>kesadaran dan disiplin masyarakat dalam membuang sampah pada tempatnya, </w:t>
      </w:r>
      <w:r>
        <w:rPr/>
        <w:t>menyebabkan penumpukan sampah yang semakin meluas di berbagai area lingkungan sekitar. Akibatnya, tumpukan sampah tersebut tidak hanya mencemari udara dengan bau tidak sedap dan gas berbahaya, tetapi juga meresap ke dalam tanah serta mencemari sumber air, baik itu air permukaan maupun air tanah. Pencemaran lingkungan yang diakibatkan oleh sampah ini membawa</w:t>
      </w:r>
      <w:r>
        <w:rPr>
          <w:spacing w:val="17"/>
        </w:rPr>
        <w:t> </w:t>
      </w:r>
      <w:r>
        <w:rPr/>
        <w:t>dampak</w:t>
      </w:r>
      <w:r>
        <w:rPr>
          <w:spacing w:val="21"/>
        </w:rPr>
        <w:t> </w:t>
      </w:r>
      <w:r>
        <w:rPr/>
        <w:t>negatif</w:t>
      </w:r>
      <w:r>
        <w:rPr>
          <w:spacing w:val="19"/>
        </w:rPr>
        <w:t> </w:t>
      </w:r>
      <w:r>
        <w:rPr/>
        <w:t>yang</w:t>
      </w:r>
      <w:r>
        <w:rPr>
          <w:spacing w:val="18"/>
        </w:rPr>
        <w:t> </w:t>
      </w:r>
      <w:r>
        <w:rPr/>
        <w:t>sangat</w:t>
      </w:r>
      <w:r>
        <w:rPr>
          <w:spacing w:val="19"/>
        </w:rPr>
        <w:t> </w:t>
      </w:r>
      <w:r>
        <w:rPr>
          <w:spacing w:val="-2"/>
        </w:rPr>
        <w:t>serius,</w:t>
      </w:r>
    </w:p>
    <w:p>
      <w:pPr>
        <w:pStyle w:val="BodyText"/>
        <w:spacing w:before="80"/>
        <w:ind w:right="161"/>
      </w:pPr>
      <w:r>
        <w:rPr/>
        <w:br w:type="column"/>
      </w:r>
      <w:r>
        <w:rPr/>
        <w:t>termasuk menurunnya kualitas lingkungan hidup dan meningkatnya risiko berbagai penyakit menular yang dapat menyerang manusia maupun hewan. Berbagai jenis penyakit seperti diare, infeksi kulit, hingga penyakit pernapasan dapat muncul akibat paparan langsung maupun tidak langsung terhadap limbah yang tidak terkelola dengan </w:t>
      </w:r>
      <w:r>
        <w:rPr>
          <w:spacing w:val="-2"/>
        </w:rPr>
        <w:t>baik.</w:t>
      </w:r>
    </w:p>
    <w:p>
      <w:pPr>
        <w:pStyle w:val="BodyText"/>
        <w:spacing w:before="1"/>
        <w:ind w:right="159" w:firstLine="720"/>
      </w:pPr>
      <w:r>
        <w:rPr/>
        <w:t>Meningkatnya nilai konsumsi masyarakat dalam memenuhi kebutuhan hidupnya, menjadi penyumbang dari semakin banyaknya sampah yang harus dibuang. Sampah rumah tangga tidak dapat dianggap kecil dalam kapasitas penyumbang sampah bagi lingkungan. Sampah dibuang begitu saja ke Tempat Pembuangan Sampah Sementara (TPS) atau dibakar di lahan kosong.</w:t>
      </w:r>
    </w:p>
    <w:p>
      <w:pPr>
        <w:pStyle w:val="BodyText"/>
        <w:tabs>
          <w:tab w:pos="1856" w:val="left" w:leader="none"/>
          <w:tab w:pos="3511" w:val="left" w:leader="none"/>
        </w:tabs>
        <w:ind w:right="160" w:firstLine="720"/>
      </w:pPr>
      <w:r>
        <w:rPr/>
        <w:t>Pengelolaan sampah merupakan usaha untuk pengurangan dan penanganan sampah secara sistematis, menyeluruh dan </w:t>
      </w:r>
      <w:r>
        <w:rPr>
          <w:spacing w:val="-2"/>
        </w:rPr>
        <w:t>berkelanjutan.</w:t>
      </w:r>
      <w:r>
        <w:rPr/>
        <w:tab/>
      </w:r>
      <w:r>
        <w:rPr>
          <w:spacing w:val="-2"/>
        </w:rPr>
        <w:t>Pengelolaan</w:t>
      </w:r>
      <w:r>
        <w:rPr/>
        <w:tab/>
      </w:r>
      <w:r>
        <w:rPr>
          <w:spacing w:val="-2"/>
        </w:rPr>
        <w:t>sampah </w:t>
      </w:r>
      <w:r>
        <w:rPr/>
        <w:t>mengkombinasikan pendekatan pengurangan sumber sampah (reduce), daur ulang (recycle) &amp; guna ulang (reuse), pengkomposan dan pembuangan akhir (Abusamah, 2023).</w:t>
      </w:r>
    </w:p>
    <w:p>
      <w:pPr>
        <w:pStyle w:val="BodyText"/>
        <w:spacing w:before="1"/>
        <w:ind w:right="159" w:firstLine="720"/>
      </w:pPr>
      <w:r>
        <w:rPr/>
        <w:t>Pengelolaan sampah merupakan kegiatan yang mencakup prinsip Reduce, Reuse, Recycle, Replace serta penanganan teknis terhadap sampah yang dihasilkan masyarakat. Dengan tujuan menekan jumlah sampah sejak dari sumbernya dengan cara mengurangi penggunaan bahan sekali pakai, menggunakan kembali barang, mendaur ulang sampah dan mengganti bahan berbahaya dengan</w:t>
      </w:r>
      <w:r>
        <w:rPr>
          <w:spacing w:val="-9"/>
        </w:rPr>
        <w:t> </w:t>
      </w:r>
      <w:r>
        <w:rPr/>
        <w:t>yang</w:t>
      </w:r>
      <w:r>
        <w:rPr>
          <w:spacing w:val="-8"/>
        </w:rPr>
        <w:t> </w:t>
      </w:r>
      <w:r>
        <w:rPr/>
        <w:t>lebih</w:t>
      </w:r>
      <w:r>
        <w:rPr>
          <w:spacing w:val="-9"/>
        </w:rPr>
        <w:t> </w:t>
      </w:r>
      <w:r>
        <w:rPr/>
        <w:t>ramah</w:t>
      </w:r>
      <w:r>
        <w:rPr>
          <w:spacing w:val="-10"/>
        </w:rPr>
        <w:t> </w:t>
      </w:r>
      <w:r>
        <w:rPr/>
        <w:t>lingkungan</w:t>
      </w:r>
      <w:r>
        <w:rPr>
          <w:spacing w:val="-10"/>
        </w:rPr>
        <w:t> </w:t>
      </w:r>
      <w:r>
        <w:rPr/>
        <w:t>(Triana</w:t>
      </w:r>
      <w:r>
        <w:rPr>
          <w:spacing w:val="-8"/>
        </w:rPr>
        <w:t> </w:t>
      </w:r>
      <w:r>
        <w:rPr/>
        <w:t>et al., 2024).</w:t>
      </w:r>
    </w:p>
    <w:p>
      <w:pPr>
        <w:pStyle w:val="BodyText"/>
        <w:ind w:right="160" w:firstLine="720"/>
      </w:pPr>
      <w:r>
        <w:rPr/>
        <w:t>Strategi ini tidak hanya membantu mengurangi beban</w:t>
      </w:r>
      <w:r>
        <w:rPr>
          <w:spacing w:val="-4"/>
        </w:rPr>
        <w:t> </w:t>
      </w:r>
      <w:r>
        <w:rPr/>
        <w:t>Tempat</w:t>
      </w:r>
      <w:r>
        <w:rPr>
          <w:spacing w:val="-1"/>
        </w:rPr>
        <w:t> </w:t>
      </w:r>
      <w:r>
        <w:rPr/>
        <w:t>Pemprosesan</w:t>
      </w:r>
      <w:r>
        <w:rPr>
          <w:spacing w:val="-12"/>
        </w:rPr>
        <w:t> </w:t>
      </w:r>
      <w:r>
        <w:rPr/>
        <w:t>Akhir (TPA), tetapi juga berkontribusi pada pelestarian lingkungan melalui pemanfaatan sampah (Annisa et al., 2018).</w:t>
      </w:r>
    </w:p>
    <w:p>
      <w:pPr>
        <w:pStyle w:val="BodyText"/>
        <w:ind w:right="160" w:firstLine="720"/>
      </w:pPr>
      <w:r>
        <w:rPr/>
        <w:t>Upaya pengelolaan sampah yang efektif tidak hanya melibatkan pemerintah dan lembaga terkait, tetapi juga peran aktif masyarakat dalam melakukan pemilahan, pengurangan, pemanfaatan ulang, dan daur ulang sampah. Dengan demikian, kita dapat menciptakan lingkungan yang bersih, sehat, dan nyaman untuk kehidupan sekarang dan generasi mendatang (Adam, 2025).</w:t>
      </w:r>
    </w:p>
    <w:p>
      <w:pPr>
        <w:pStyle w:val="BodyText"/>
        <w:spacing w:after="0"/>
        <w:sectPr>
          <w:footerReference w:type="default" r:id="rId6"/>
          <w:pgSz w:w="11910" w:h="16840"/>
          <w:pgMar w:header="0" w:footer="2031" w:top="1340" w:bottom="2220" w:left="1417" w:right="1275"/>
          <w:pgNumType w:start="2"/>
          <w:cols w:num="2" w:equalWidth="0">
            <w:col w:w="4186" w:space="682"/>
            <w:col w:w="4350"/>
          </w:cols>
        </w:sectPr>
      </w:pPr>
    </w:p>
    <w:p>
      <w:pPr>
        <w:pStyle w:val="BodyText"/>
        <w:spacing w:before="80"/>
        <w:ind w:right="1" w:firstLine="775"/>
      </w:pPr>
      <w:r>
        <w:rPr/>
        <w:t>Berdasarkan teori dasar Lawrence Green menjelaskan bahwa salah satu faktor yang mempengaruhi perilaku kesehatan seseorang ialah faktor predisposisi seperti umur, pendidikan, pekerjaan, pengetahuan, sikap. Pengetahuan individu memiliki peranan penting dalam tindakan yang diambilnya (Wahid, 2025).</w:t>
      </w:r>
    </w:p>
    <w:p>
      <w:pPr>
        <w:pStyle w:val="BodyText"/>
        <w:ind w:firstLine="719"/>
      </w:pPr>
      <w:r>
        <w:rPr/>
        <w:t>Pengetahuan merupakan domain yang sangat</w:t>
      </w:r>
      <w:r>
        <w:rPr>
          <w:spacing w:val="-9"/>
        </w:rPr>
        <w:t> </w:t>
      </w:r>
      <w:r>
        <w:rPr/>
        <w:t>penting</w:t>
      </w:r>
      <w:r>
        <w:rPr>
          <w:spacing w:val="-10"/>
        </w:rPr>
        <w:t> </w:t>
      </w:r>
      <w:r>
        <w:rPr/>
        <w:t>untuk</w:t>
      </w:r>
      <w:r>
        <w:rPr>
          <w:spacing w:val="-12"/>
        </w:rPr>
        <w:t> </w:t>
      </w:r>
      <w:r>
        <w:rPr/>
        <w:t>terbentuknya</w:t>
      </w:r>
      <w:r>
        <w:rPr>
          <w:spacing w:val="-12"/>
        </w:rPr>
        <w:t> </w:t>
      </w:r>
      <w:r>
        <w:rPr/>
        <w:t>praktek</w:t>
      </w:r>
      <w:r>
        <w:rPr>
          <w:spacing w:val="-9"/>
        </w:rPr>
        <w:t> </w:t>
      </w:r>
      <w:r>
        <w:rPr/>
        <w:t>atau tindakan seseorang. Salah satu unsur yang diperlukan agar dapat berbuat sesuatu adalah pengetahuan</w:t>
      </w:r>
      <w:r>
        <w:rPr>
          <w:spacing w:val="-14"/>
        </w:rPr>
        <w:t> </w:t>
      </w:r>
      <w:r>
        <w:rPr/>
        <w:t>dan</w:t>
      </w:r>
      <w:r>
        <w:rPr>
          <w:spacing w:val="-14"/>
        </w:rPr>
        <w:t> </w:t>
      </w:r>
      <w:r>
        <w:rPr/>
        <w:t>jika</w:t>
      </w:r>
      <w:r>
        <w:rPr>
          <w:spacing w:val="-14"/>
        </w:rPr>
        <w:t> </w:t>
      </w:r>
      <w:r>
        <w:rPr/>
        <w:t>kita</w:t>
      </w:r>
      <w:r>
        <w:rPr>
          <w:spacing w:val="-13"/>
        </w:rPr>
        <w:t> </w:t>
      </w:r>
      <w:r>
        <w:rPr/>
        <w:t>menghendaki</w:t>
      </w:r>
      <w:r>
        <w:rPr>
          <w:spacing w:val="-14"/>
        </w:rPr>
        <w:t> </w:t>
      </w:r>
      <w:r>
        <w:rPr/>
        <w:t>sesuatu dapat dikerjakan dengan terus menerus maka diperlukan pengetahuan yang positif tentang apa yang harus dikerjakan, dengan kata lain perilaku atau tindakan yang dilandasi pengetahuan akan lebih langgeng dibanding praktek atau tindakan yang tanpa didasari pengetahuan dan tingkat pengetahuan seseorang (Kristanti, 2017).</w:t>
      </w:r>
    </w:p>
    <w:p>
      <w:pPr>
        <w:pStyle w:val="BodyText"/>
        <w:spacing w:before="2"/>
        <w:ind w:firstLine="719"/>
      </w:pPr>
      <w:r>
        <w:rPr/>
        <w:t>Menurut Herawati et al. (2019), sikap merupakan reaksi/respon yang masih tertutup dari</w:t>
      </w:r>
      <w:r>
        <w:rPr>
          <w:spacing w:val="40"/>
        </w:rPr>
        <w:t> </w:t>
      </w:r>
      <w:r>
        <w:rPr/>
        <w:t>seseorang</w:t>
      </w:r>
      <w:r>
        <w:rPr>
          <w:spacing w:val="40"/>
        </w:rPr>
        <w:t> </w:t>
      </w:r>
      <w:r>
        <w:rPr/>
        <w:t>terhadap suatu stimulus atau objek, yang sudah melibatkan faktor pendapat dan emosi yang bersangkutan, sehingga sikap yang akan timbul sangat dipengaruhi oleh pengetahuan sesorang.</w:t>
      </w:r>
    </w:p>
    <w:p>
      <w:pPr>
        <w:pStyle w:val="BodyText"/>
        <w:ind w:firstLine="719"/>
      </w:pPr>
      <w:r>
        <w:rPr/>
        <w:t>Berdasarkan penelitian Akbar (2021), hasil penelitian terdapat ada hubungan pengetahuan (p-value=0,001) </w:t>
      </w:r>
      <w:r>
        <w:rPr/>
        <w:t>terhadap pengelolaan sampah rumah tangga di Desa Muntoi. Hubungan yang bermakna juga didapatkan antara sikap masyarakat terhadap pengelolaan sampah rumah tangga di Desa Muntoi dengan nilai (p-value=0,037). Hal ini disebabkan bahwa masih banyak masyarakat yang memiliki sikap untuk membuang sampah rumah tangganya dibandingkan untuk dikelola kembali. Hal ini dikarenakan pengaruh dari minimnya</w:t>
      </w:r>
      <w:r>
        <w:rPr>
          <w:spacing w:val="-8"/>
        </w:rPr>
        <w:t> </w:t>
      </w:r>
      <w:r>
        <w:rPr/>
        <w:t>pengetahuan</w:t>
      </w:r>
      <w:r>
        <w:rPr>
          <w:spacing w:val="-8"/>
        </w:rPr>
        <w:t> </w:t>
      </w:r>
      <w:r>
        <w:rPr/>
        <w:t>masyarakat</w:t>
      </w:r>
      <w:r>
        <w:rPr>
          <w:spacing w:val="-8"/>
        </w:rPr>
        <w:t> </w:t>
      </w:r>
      <w:r>
        <w:rPr/>
        <w:t>terkait</w:t>
      </w:r>
      <w:r>
        <w:rPr>
          <w:spacing w:val="-8"/>
        </w:rPr>
        <w:t> </w:t>
      </w:r>
      <w:r>
        <w:rPr/>
        <w:t>cara pengelolaan sampah rumah tangga. Pengetahuan dan sikap masyarakat tersebut tidak terpisahkan sehingga masih saling berhubungan satu sama lain.</w:t>
      </w:r>
    </w:p>
    <w:p>
      <w:pPr>
        <w:pStyle w:val="BodyText"/>
        <w:ind w:firstLine="719"/>
      </w:pPr>
      <w:r>
        <w:rPr/>
        <w:t>Berdasarkan observasi awal, masih ditemukan</w:t>
      </w:r>
      <w:r>
        <w:rPr>
          <w:spacing w:val="-13"/>
        </w:rPr>
        <w:t> </w:t>
      </w:r>
      <w:r>
        <w:rPr/>
        <w:t>masyarakat</w:t>
      </w:r>
      <w:r>
        <w:rPr>
          <w:spacing w:val="-10"/>
        </w:rPr>
        <w:t> </w:t>
      </w:r>
      <w:r>
        <w:rPr/>
        <w:t>yang</w:t>
      </w:r>
      <w:r>
        <w:rPr>
          <w:spacing w:val="-11"/>
        </w:rPr>
        <w:t> </w:t>
      </w:r>
      <w:r>
        <w:rPr/>
        <w:t>mengelola</w:t>
      </w:r>
      <w:r>
        <w:rPr>
          <w:spacing w:val="-10"/>
        </w:rPr>
        <w:t> </w:t>
      </w:r>
      <w:r>
        <w:rPr/>
        <w:t>sampah dengan cara kurang baik seperti membakar sampah dan menumpuk sampah terbuka di halaman atau kebun, yang menyebabkan </w:t>
      </w:r>
      <w:r>
        <w:rPr/>
        <w:t>bau tidak</w:t>
      </w:r>
      <w:r>
        <w:rPr>
          <w:spacing w:val="35"/>
        </w:rPr>
        <w:t>  </w:t>
      </w:r>
      <w:r>
        <w:rPr/>
        <w:t>sedap,</w:t>
      </w:r>
      <w:r>
        <w:rPr>
          <w:spacing w:val="36"/>
        </w:rPr>
        <w:t>  </w:t>
      </w:r>
      <w:r>
        <w:rPr/>
        <w:t>perkembangbiakan</w:t>
      </w:r>
      <w:r>
        <w:rPr>
          <w:spacing w:val="35"/>
        </w:rPr>
        <w:t>  </w:t>
      </w:r>
      <w:r>
        <w:rPr/>
        <w:t>tikus</w:t>
      </w:r>
      <w:r>
        <w:rPr>
          <w:spacing w:val="35"/>
        </w:rPr>
        <w:t>  </w:t>
      </w:r>
      <w:r>
        <w:rPr>
          <w:spacing w:val="-5"/>
        </w:rPr>
        <w:t>dan</w:t>
      </w:r>
    </w:p>
    <w:p>
      <w:pPr>
        <w:pStyle w:val="BodyText"/>
        <w:spacing w:before="80"/>
        <w:ind w:left="100" w:right="160"/>
      </w:pPr>
      <w:r>
        <w:rPr/>
        <w:br w:type="column"/>
      </w:r>
      <w:r>
        <w:rPr/>
        <w:t>nyamuk, serta pencemaran lingkungan. Selain itu, dari wawancara awal terhadap 10 orang warga, hanya 4 orang yang memahami pemilahan dan pengolahan sampah rumah tangga yang benar. Dari latar belakang yang telah</w:t>
      </w:r>
      <w:r>
        <w:rPr>
          <w:spacing w:val="-14"/>
        </w:rPr>
        <w:t> </w:t>
      </w:r>
      <w:r>
        <w:rPr/>
        <w:t>dikemukakan</w:t>
      </w:r>
      <w:r>
        <w:rPr>
          <w:spacing w:val="-14"/>
        </w:rPr>
        <w:t> </w:t>
      </w:r>
      <w:r>
        <w:rPr/>
        <w:t>maka,</w:t>
      </w:r>
      <w:r>
        <w:rPr>
          <w:spacing w:val="-14"/>
        </w:rPr>
        <w:t> </w:t>
      </w:r>
      <w:r>
        <w:rPr/>
        <w:t>peneliti</w:t>
      </w:r>
      <w:r>
        <w:rPr>
          <w:spacing w:val="-13"/>
        </w:rPr>
        <w:t> </w:t>
      </w:r>
      <w:r>
        <w:rPr/>
        <w:t>tertarik</w:t>
      </w:r>
      <w:r>
        <w:rPr>
          <w:spacing w:val="-14"/>
        </w:rPr>
        <w:t> </w:t>
      </w:r>
      <w:r>
        <w:rPr/>
        <w:t>untuk melakukan penelitian tentang “Hubungan Pengetahuan Dan Sikap Dengan Pengelolaan Sampah Rumah Tangga Di Kelurahan Wek II Kota Padangsidimpuan Tahun 2026”.</w:t>
      </w:r>
    </w:p>
    <w:p>
      <w:pPr>
        <w:pStyle w:val="Heading1"/>
        <w:numPr>
          <w:ilvl w:val="0"/>
          <w:numId w:val="1"/>
        </w:numPr>
        <w:tabs>
          <w:tab w:pos="383" w:val="left" w:leader="none"/>
        </w:tabs>
        <w:spacing w:line="276" w:lineRule="exact" w:before="161" w:after="0"/>
        <w:ind w:left="383" w:right="0" w:hanging="360"/>
        <w:jc w:val="left"/>
      </w:pPr>
      <w:r>
        <w:rPr/>
        <w:t>METODE</w:t>
      </w:r>
      <w:r>
        <w:rPr>
          <w:spacing w:val="-6"/>
        </w:rPr>
        <w:t> </w:t>
      </w:r>
      <w:r>
        <w:rPr>
          <w:spacing w:val="-2"/>
        </w:rPr>
        <w:t>PENELITIAN</w:t>
      </w:r>
    </w:p>
    <w:p>
      <w:pPr>
        <w:pStyle w:val="BodyText"/>
        <w:ind w:left="100" w:right="158" w:firstLine="360"/>
      </w:pPr>
      <w:r>
        <w:rPr/>
        <w:t>Jenis penelitian yang digunakan dalam penelitian ini adalah kuantitatif dengan desain penelitian analitik untuk mengetahui ada tidaknya hubungan antara dua atau beberapa variabel. Penelitian ini menggunakan metode Cross Sectional</w:t>
      </w:r>
      <w:r>
        <w:rPr>
          <w:i/>
        </w:rPr>
        <w:t>. </w:t>
      </w:r>
      <w:r>
        <w:rPr/>
        <w:t>Penelitian ini dilakukan di Kelurahan Wek II Kota Padangsidimpuan Utara. Populasi penelitian ini adalah seluruh rumah</w:t>
      </w:r>
      <w:r>
        <w:rPr>
          <w:spacing w:val="-14"/>
        </w:rPr>
        <w:t> </w:t>
      </w:r>
      <w:r>
        <w:rPr/>
        <w:t>tangga</w:t>
      </w:r>
      <w:r>
        <w:rPr>
          <w:spacing w:val="-14"/>
        </w:rPr>
        <w:t> </w:t>
      </w:r>
      <w:r>
        <w:rPr/>
        <w:t>yang</w:t>
      </w:r>
      <w:r>
        <w:rPr>
          <w:spacing w:val="-14"/>
        </w:rPr>
        <w:t> </w:t>
      </w:r>
      <w:r>
        <w:rPr/>
        <w:t>tinggal</w:t>
      </w:r>
      <w:r>
        <w:rPr>
          <w:spacing w:val="-13"/>
        </w:rPr>
        <w:t> </w:t>
      </w:r>
      <w:r>
        <w:rPr/>
        <w:t>di</w:t>
      </w:r>
      <w:r>
        <w:rPr>
          <w:spacing w:val="-11"/>
        </w:rPr>
        <w:t> </w:t>
      </w:r>
      <w:r>
        <w:rPr/>
        <w:t>Kelurahan</w:t>
      </w:r>
      <w:r>
        <w:rPr>
          <w:spacing w:val="-14"/>
        </w:rPr>
        <w:t> </w:t>
      </w:r>
      <w:r>
        <w:rPr/>
        <w:t>Wek</w:t>
      </w:r>
      <w:r>
        <w:rPr>
          <w:spacing w:val="-13"/>
        </w:rPr>
        <w:t> </w:t>
      </w:r>
      <w:r>
        <w:rPr/>
        <w:t>II dengan</w:t>
      </w:r>
      <w:r>
        <w:rPr>
          <w:spacing w:val="-6"/>
        </w:rPr>
        <w:t> </w:t>
      </w:r>
      <w:r>
        <w:rPr/>
        <w:t>sampel</w:t>
      </w:r>
      <w:r>
        <w:rPr>
          <w:spacing w:val="-4"/>
        </w:rPr>
        <w:t> </w:t>
      </w:r>
      <w:r>
        <w:rPr/>
        <w:t>sebanyak</w:t>
      </w:r>
      <w:r>
        <w:rPr>
          <w:spacing w:val="-5"/>
        </w:rPr>
        <w:t> </w:t>
      </w:r>
      <w:r>
        <w:rPr/>
        <w:t>90</w:t>
      </w:r>
      <w:r>
        <w:rPr>
          <w:spacing w:val="-5"/>
        </w:rPr>
        <w:t> </w:t>
      </w:r>
      <w:r>
        <w:rPr/>
        <w:t>responden.</w:t>
      </w:r>
      <w:r>
        <w:rPr>
          <w:spacing w:val="-8"/>
        </w:rPr>
        <w:t> </w:t>
      </w:r>
      <w:r>
        <w:rPr/>
        <w:t>Teknik pengambilan sampel dalam penelitian ini adalah menggunakan teknik non probability sampling dengan cara purposive sampling Analisa data pada penelitian ini yaitu analisa univariat dan analisa bivariat.</w:t>
      </w:r>
    </w:p>
    <w:p>
      <w:pPr>
        <w:pStyle w:val="Heading1"/>
        <w:numPr>
          <w:ilvl w:val="0"/>
          <w:numId w:val="1"/>
        </w:numPr>
        <w:tabs>
          <w:tab w:pos="527" w:val="left" w:leader="none"/>
        </w:tabs>
        <w:spacing w:line="240" w:lineRule="auto" w:before="121" w:after="0"/>
        <w:ind w:left="527" w:right="0" w:hanging="427"/>
        <w:jc w:val="left"/>
      </w:pPr>
      <w:r>
        <w:rPr>
          <w:spacing w:val="-2"/>
        </w:rPr>
        <w:t>HASIL</w:t>
      </w:r>
      <w:r>
        <w:rPr>
          <w:spacing w:val="-8"/>
        </w:rPr>
        <w:t> </w:t>
      </w:r>
      <w:r>
        <w:rPr>
          <w:spacing w:val="-2"/>
        </w:rPr>
        <w:t>PENELITIAN</w:t>
      </w:r>
    </w:p>
    <w:p>
      <w:pPr>
        <w:spacing w:before="142"/>
        <w:ind w:left="100" w:right="0" w:firstLine="0"/>
        <w:jc w:val="both"/>
        <w:rPr>
          <w:b/>
          <w:sz w:val="24"/>
        </w:rPr>
      </w:pPr>
      <w:r>
        <w:rPr>
          <w:b/>
          <w:sz w:val="24"/>
        </w:rPr>
        <w:t>Analisis </w:t>
      </w:r>
      <w:r>
        <w:rPr>
          <w:b/>
          <w:spacing w:val="-2"/>
          <w:sz w:val="24"/>
        </w:rPr>
        <w:t>Univariat</w:t>
      </w:r>
    </w:p>
    <w:p>
      <w:pPr>
        <w:pStyle w:val="Heading2"/>
        <w:spacing w:line="242" w:lineRule="auto" w:before="120"/>
        <w:ind w:left="100" w:right="160"/>
      </w:pPr>
      <w:r>
        <w:rPr/>
        <w:t>Tabel 1. Distribusi Frekuensi Karakteristik Responden di Kelurahan Wek II Kota Padangsidimpuan Tahun 2026</w:t>
      </w:r>
    </w:p>
    <w:p>
      <w:pPr>
        <w:pStyle w:val="BodyText"/>
        <w:spacing w:before="9"/>
        <w:ind w:left="0"/>
        <w:jc w:val="left"/>
        <w:rPr>
          <w:b/>
          <w:sz w:val="9"/>
        </w:rPr>
      </w:pPr>
    </w:p>
    <w:tbl>
      <w:tblPr>
        <w:tblW w:w="0" w:type="auto"/>
        <w:jc w:val="left"/>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19"/>
        <w:gridCol w:w="694"/>
        <w:gridCol w:w="1100"/>
      </w:tblGrid>
      <w:tr>
        <w:trPr>
          <w:trHeight w:val="278" w:hRule="atLeast"/>
        </w:trPr>
        <w:tc>
          <w:tcPr>
            <w:tcW w:w="2319" w:type="dxa"/>
            <w:tcBorders>
              <w:top w:val="single" w:sz="4" w:space="0" w:color="000000"/>
              <w:bottom w:val="single" w:sz="4" w:space="0" w:color="000000"/>
            </w:tcBorders>
          </w:tcPr>
          <w:p>
            <w:pPr>
              <w:pStyle w:val="TableParagraph"/>
              <w:spacing w:before="1"/>
              <w:ind w:left="763"/>
              <w:rPr>
                <w:b/>
                <w:sz w:val="22"/>
              </w:rPr>
            </w:pPr>
            <w:r>
              <w:rPr>
                <w:b/>
                <w:spacing w:val="-2"/>
                <w:sz w:val="22"/>
              </w:rPr>
              <w:t>Karakteristik</w:t>
            </w:r>
          </w:p>
        </w:tc>
        <w:tc>
          <w:tcPr>
            <w:tcW w:w="694" w:type="dxa"/>
            <w:tcBorders>
              <w:top w:val="single" w:sz="4" w:space="0" w:color="000000"/>
              <w:bottom w:val="single" w:sz="4" w:space="0" w:color="000000"/>
            </w:tcBorders>
          </w:tcPr>
          <w:p>
            <w:pPr>
              <w:pStyle w:val="TableParagraph"/>
              <w:spacing w:before="1"/>
              <w:ind w:left="102" w:right="89"/>
              <w:jc w:val="center"/>
              <w:rPr>
                <w:b/>
                <w:sz w:val="22"/>
              </w:rPr>
            </w:pPr>
            <w:r>
              <w:rPr>
                <w:b/>
                <w:spacing w:val="-10"/>
                <w:sz w:val="22"/>
              </w:rPr>
              <w:t>n</w:t>
            </w:r>
          </w:p>
        </w:tc>
        <w:tc>
          <w:tcPr>
            <w:tcW w:w="1100" w:type="dxa"/>
            <w:tcBorders>
              <w:top w:val="single" w:sz="4" w:space="0" w:color="000000"/>
              <w:bottom w:val="single" w:sz="4" w:space="0" w:color="000000"/>
            </w:tcBorders>
          </w:tcPr>
          <w:p>
            <w:pPr>
              <w:pStyle w:val="TableParagraph"/>
              <w:spacing w:before="1"/>
              <w:ind w:left="189"/>
              <w:rPr>
                <w:b/>
                <w:sz w:val="22"/>
              </w:rPr>
            </w:pPr>
            <w:r>
              <w:rPr>
                <w:b/>
                <w:spacing w:val="-10"/>
                <w:sz w:val="22"/>
              </w:rPr>
              <w:t>%</w:t>
            </w:r>
          </w:p>
        </w:tc>
      </w:tr>
      <w:tr>
        <w:trPr>
          <w:trHeight w:val="262" w:hRule="atLeast"/>
        </w:trPr>
        <w:tc>
          <w:tcPr>
            <w:tcW w:w="2319" w:type="dxa"/>
            <w:tcBorders>
              <w:top w:val="single" w:sz="4" w:space="0" w:color="000000"/>
            </w:tcBorders>
          </w:tcPr>
          <w:p>
            <w:pPr>
              <w:pStyle w:val="TableParagraph"/>
              <w:spacing w:line="243" w:lineRule="exact"/>
              <w:ind w:left="134"/>
              <w:rPr>
                <w:b/>
                <w:sz w:val="22"/>
              </w:rPr>
            </w:pPr>
            <w:r>
              <w:rPr>
                <w:b/>
                <w:sz w:val="22"/>
              </w:rPr>
              <w:t>Umur</w:t>
            </w:r>
            <w:r>
              <w:rPr>
                <w:b/>
                <w:spacing w:val="-7"/>
                <w:sz w:val="22"/>
              </w:rPr>
              <w:t> </w:t>
            </w:r>
            <w:r>
              <w:rPr>
                <w:b/>
                <w:spacing w:val="-2"/>
                <w:sz w:val="22"/>
              </w:rPr>
              <w:t>(Tahun)</w:t>
            </w:r>
          </w:p>
        </w:tc>
        <w:tc>
          <w:tcPr>
            <w:tcW w:w="694" w:type="dxa"/>
            <w:tcBorders>
              <w:top w:val="single" w:sz="4" w:space="0" w:color="000000"/>
            </w:tcBorders>
          </w:tcPr>
          <w:p>
            <w:pPr>
              <w:pStyle w:val="TableParagraph"/>
              <w:rPr>
                <w:sz w:val="18"/>
              </w:rPr>
            </w:pPr>
          </w:p>
        </w:tc>
        <w:tc>
          <w:tcPr>
            <w:tcW w:w="1100" w:type="dxa"/>
            <w:tcBorders>
              <w:top w:val="single" w:sz="4" w:space="0" w:color="000000"/>
            </w:tcBorders>
          </w:tcPr>
          <w:p>
            <w:pPr>
              <w:pStyle w:val="TableParagraph"/>
              <w:rPr>
                <w:sz w:val="18"/>
              </w:rPr>
            </w:pPr>
          </w:p>
        </w:tc>
      </w:tr>
      <w:tr>
        <w:trPr>
          <w:trHeight w:val="522" w:hRule="atLeast"/>
        </w:trPr>
        <w:tc>
          <w:tcPr>
            <w:tcW w:w="2319" w:type="dxa"/>
          </w:tcPr>
          <w:p>
            <w:pPr>
              <w:pStyle w:val="TableParagraph"/>
              <w:spacing w:line="250" w:lineRule="atLeast"/>
              <w:ind w:left="629" w:right="544"/>
              <w:rPr>
                <w:sz w:val="22"/>
              </w:rPr>
            </w:pPr>
            <w:r>
              <w:rPr>
                <w:spacing w:val="-4"/>
                <w:sz w:val="22"/>
              </w:rPr>
              <w:t>Remaja</w:t>
            </w:r>
            <w:r>
              <w:rPr>
                <w:spacing w:val="-12"/>
                <w:sz w:val="22"/>
              </w:rPr>
              <w:t> </w:t>
            </w:r>
            <w:r>
              <w:rPr>
                <w:spacing w:val="-4"/>
                <w:sz w:val="22"/>
              </w:rPr>
              <w:t>akhir </w:t>
            </w:r>
            <w:r>
              <w:rPr>
                <w:spacing w:val="-6"/>
                <w:sz w:val="22"/>
              </w:rPr>
              <w:t>(17-25</w:t>
            </w:r>
            <w:r>
              <w:rPr>
                <w:spacing w:val="-2"/>
                <w:sz w:val="22"/>
              </w:rPr>
              <w:t> </w:t>
            </w:r>
            <w:r>
              <w:rPr>
                <w:spacing w:val="-6"/>
                <w:sz w:val="22"/>
              </w:rPr>
              <w:t>tahun)</w:t>
            </w:r>
          </w:p>
        </w:tc>
        <w:tc>
          <w:tcPr>
            <w:tcW w:w="694" w:type="dxa"/>
          </w:tcPr>
          <w:p>
            <w:pPr>
              <w:pStyle w:val="TableParagraph"/>
              <w:spacing w:before="7"/>
              <w:ind w:left="102" w:right="101"/>
              <w:jc w:val="center"/>
              <w:rPr>
                <w:sz w:val="22"/>
              </w:rPr>
            </w:pPr>
            <w:r>
              <w:rPr>
                <w:spacing w:val="-10"/>
                <w:sz w:val="22"/>
              </w:rPr>
              <w:t>2</w:t>
            </w:r>
          </w:p>
        </w:tc>
        <w:tc>
          <w:tcPr>
            <w:tcW w:w="1100" w:type="dxa"/>
          </w:tcPr>
          <w:p>
            <w:pPr>
              <w:pStyle w:val="TableParagraph"/>
              <w:spacing w:before="7"/>
              <w:ind w:left="189"/>
              <w:rPr>
                <w:sz w:val="22"/>
              </w:rPr>
            </w:pPr>
            <w:r>
              <w:rPr>
                <w:spacing w:val="-5"/>
                <w:sz w:val="22"/>
              </w:rPr>
              <w:t>2,2</w:t>
            </w:r>
          </w:p>
        </w:tc>
      </w:tr>
      <w:tr>
        <w:trPr>
          <w:trHeight w:val="505" w:hRule="atLeast"/>
        </w:trPr>
        <w:tc>
          <w:tcPr>
            <w:tcW w:w="2319" w:type="dxa"/>
          </w:tcPr>
          <w:p>
            <w:pPr>
              <w:pStyle w:val="TableParagraph"/>
              <w:spacing w:line="252" w:lineRule="exact"/>
              <w:ind w:left="629" w:right="544"/>
              <w:rPr>
                <w:sz w:val="22"/>
              </w:rPr>
            </w:pPr>
            <w:r>
              <w:rPr>
                <w:spacing w:val="-2"/>
                <w:sz w:val="22"/>
              </w:rPr>
              <w:t>Dewasa</w:t>
            </w:r>
            <w:r>
              <w:rPr>
                <w:spacing w:val="-14"/>
                <w:sz w:val="22"/>
              </w:rPr>
              <w:t> </w:t>
            </w:r>
            <w:r>
              <w:rPr>
                <w:spacing w:val="-2"/>
                <w:sz w:val="22"/>
              </w:rPr>
              <w:t>awal </w:t>
            </w:r>
            <w:r>
              <w:rPr>
                <w:spacing w:val="-6"/>
                <w:sz w:val="22"/>
              </w:rPr>
              <w:t>(26-35</w:t>
            </w:r>
            <w:r>
              <w:rPr>
                <w:spacing w:val="-2"/>
                <w:sz w:val="22"/>
              </w:rPr>
              <w:t> </w:t>
            </w:r>
            <w:r>
              <w:rPr>
                <w:spacing w:val="-6"/>
                <w:sz w:val="22"/>
              </w:rPr>
              <w:t>tahun)</w:t>
            </w:r>
          </w:p>
        </w:tc>
        <w:tc>
          <w:tcPr>
            <w:tcW w:w="694" w:type="dxa"/>
          </w:tcPr>
          <w:p>
            <w:pPr>
              <w:pStyle w:val="TableParagraph"/>
              <w:spacing w:line="250" w:lineRule="exact"/>
              <w:ind w:left="102"/>
              <w:jc w:val="center"/>
              <w:rPr>
                <w:sz w:val="22"/>
              </w:rPr>
            </w:pPr>
            <w:r>
              <w:rPr>
                <w:spacing w:val="-5"/>
                <w:sz w:val="22"/>
              </w:rPr>
              <w:t>29</w:t>
            </w:r>
          </w:p>
        </w:tc>
        <w:tc>
          <w:tcPr>
            <w:tcW w:w="1100" w:type="dxa"/>
          </w:tcPr>
          <w:p>
            <w:pPr>
              <w:pStyle w:val="TableParagraph"/>
              <w:spacing w:line="250" w:lineRule="exact"/>
              <w:ind w:left="189"/>
              <w:rPr>
                <w:sz w:val="22"/>
              </w:rPr>
            </w:pPr>
            <w:r>
              <w:rPr>
                <w:spacing w:val="-4"/>
                <w:sz w:val="22"/>
              </w:rPr>
              <w:t>32,2</w:t>
            </w:r>
          </w:p>
        </w:tc>
      </w:tr>
      <w:tr>
        <w:trPr>
          <w:trHeight w:val="502" w:hRule="atLeast"/>
        </w:trPr>
        <w:tc>
          <w:tcPr>
            <w:tcW w:w="2319" w:type="dxa"/>
          </w:tcPr>
          <w:p>
            <w:pPr>
              <w:pStyle w:val="TableParagraph"/>
              <w:spacing w:line="248" w:lineRule="exact"/>
              <w:ind w:left="629"/>
              <w:rPr>
                <w:sz w:val="22"/>
              </w:rPr>
            </w:pPr>
            <w:r>
              <w:rPr>
                <w:spacing w:val="-6"/>
                <w:sz w:val="22"/>
              </w:rPr>
              <w:t>Dewasa</w:t>
            </w:r>
            <w:r>
              <w:rPr>
                <w:spacing w:val="-5"/>
                <w:sz w:val="22"/>
              </w:rPr>
              <w:t> </w:t>
            </w:r>
            <w:r>
              <w:rPr>
                <w:spacing w:val="-2"/>
                <w:sz w:val="22"/>
              </w:rPr>
              <w:t>akhir</w:t>
            </w:r>
          </w:p>
          <w:p>
            <w:pPr>
              <w:pStyle w:val="TableParagraph"/>
              <w:spacing w:line="235" w:lineRule="exact"/>
              <w:ind w:left="629"/>
              <w:rPr>
                <w:sz w:val="22"/>
              </w:rPr>
            </w:pPr>
            <w:r>
              <w:rPr>
                <w:spacing w:val="-6"/>
                <w:sz w:val="22"/>
              </w:rPr>
              <w:t>(36-45</w:t>
            </w:r>
            <w:r>
              <w:rPr>
                <w:spacing w:val="-2"/>
                <w:sz w:val="22"/>
              </w:rPr>
              <w:t> </w:t>
            </w:r>
            <w:r>
              <w:rPr>
                <w:spacing w:val="-6"/>
                <w:sz w:val="22"/>
              </w:rPr>
              <w:t>tahun)</w:t>
            </w:r>
          </w:p>
        </w:tc>
        <w:tc>
          <w:tcPr>
            <w:tcW w:w="694" w:type="dxa"/>
          </w:tcPr>
          <w:p>
            <w:pPr>
              <w:pStyle w:val="TableParagraph"/>
              <w:spacing w:line="248" w:lineRule="exact"/>
              <w:ind w:left="102"/>
              <w:jc w:val="center"/>
              <w:rPr>
                <w:sz w:val="22"/>
              </w:rPr>
            </w:pPr>
            <w:r>
              <w:rPr>
                <w:spacing w:val="-5"/>
                <w:sz w:val="22"/>
              </w:rPr>
              <w:t>30</w:t>
            </w:r>
          </w:p>
        </w:tc>
        <w:tc>
          <w:tcPr>
            <w:tcW w:w="1100" w:type="dxa"/>
          </w:tcPr>
          <w:p>
            <w:pPr>
              <w:pStyle w:val="TableParagraph"/>
              <w:spacing w:line="248" w:lineRule="exact"/>
              <w:ind w:left="189"/>
              <w:rPr>
                <w:sz w:val="22"/>
              </w:rPr>
            </w:pPr>
            <w:r>
              <w:rPr>
                <w:spacing w:val="-4"/>
                <w:sz w:val="22"/>
              </w:rPr>
              <w:t>33,3</w:t>
            </w:r>
          </w:p>
        </w:tc>
      </w:tr>
      <w:tr>
        <w:trPr>
          <w:trHeight w:val="501" w:hRule="atLeast"/>
        </w:trPr>
        <w:tc>
          <w:tcPr>
            <w:tcW w:w="2319" w:type="dxa"/>
            <w:tcBorders>
              <w:bottom w:val="single" w:sz="4" w:space="0" w:color="000000"/>
            </w:tcBorders>
          </w:tcPr>
          <w:p>
            <w:pPr>
              <w:pStyle w:val="TableParagraph"/>
              <w:spacing w:line="246" w:lineRule="exact"/>
              <w:ind w:left="629"/>
              <w:rPr>
                <w:sz w:val="22"/>
              </w:rPr>
            </w:pPr>
            <w:r>
              <w:rPr>
                <w:spacing w:val="-2"/>
                <w:sz w:val="22"/>
              </w:rPr>
              <w:t>Lansia</w:t>
            </w:r>
          </w:p>
          <w:p>
            <w:pPr>
              <w:pStyle w:val="TableParagraph"/>
              <w:spacing w:line="235" w:lineRule="exact"/>
              <w:ind w:left="629"/>
              <w:rPr>
                <w:sz w:val="22"/>
              </w:rPr>
            </w:pPr>
            <w:r>
              <w:rPr>
                <w:spacing w:val="-6"/>
                <w:sz w:val="22"/>
              </w:rPr>
              <w:t>(46-55</w:t>
            </w:r>
            <w:r>
              <w:rPr>
                <w:spacing w:val="-2"/>
                <w:sz w:val="22"/>
              </w:rPr>
              <w:t> </w:t>
            </w:r>
            <w:r>
              <w:rPr>
                <w:spacing w:val="-6"/>
                <w:sz w:val="22"/>
              </w:rPr>
              <w:t>tahun)</w:t>
            </w:r>
          </w:p>
        </w:tc>
        <w:tc>
          <w:tcPr>
            <w:tcW w:w="694" w:type="dxa"/>
            <w:tcBorders>
              <w:bottom w:val="single" w:sz="4" w:space="0" w:color="000000"/>
            </w:tcBorders>
          </w:tcPr>
          <w:p>
            <w:pPr>
              <w:pStyle w:val="TableParagraph"/>
              <w:spacing w:line="247" w:lineRule="exact"/>
              <w:ind w:left="102"/>
              <w:jc w:val="center"/>
              <w:rPr>
                <w:sz w:val="22"/>
              </w:rPr>
            </w:pPr>
            <w:r>
              <w:rPr>
                <w:spacing w:val="-5"/>
                <w:sz w:val="22"/>
              </w:rPr>
              <w:t>29</w:t>
            </w:r>
          </w:p>
        </w:tc>
        <w:tc>
          <w:tcPr>
            <w:tcW w:w="1100" w:type="dxa"/>
            <w:tcBorders>
              <w:bottom w:val="single" w:sz="4" w:space="0" w:color="000000"/>
            </w:tcBorders>
          </w:tcPr>
          <w:p>
            <w:pPr>
              <w:pStyle w:val="TableParagraph"/>
              <w:spacing w:line="247" w:lineRule="exact"/>
              <w:ind w:left="189"/>
              <w:rPr>
                <w:sz w:val="22"/>
              </w:rPr>
            </w:pPr>
            <w:r>
              <w:rPr>
                <w:spacing w:val="-4"/>
                <w:sz w:val="22"/>
              </w:rPr>
              <w:t>32,3</w:t>
            </w:r>
          </w:p>
        </w:tc>
      </w:tr>
      <w:tr>
        <w:trPr>
          <w:trHeight w:val="268" w:hRule="atLeast"/>
        </w:trPr>
        <w:tc>
          <w:tcPr>
            <w:tcW w:w="2319" w:type="dxa"/>
            <w:tcBorders>
              <w:top w:val="single" w:sz="4" w:space="0" w:color="000000"/>
              <w:bottom w:val="single" w:sz="4" w:space="0" w:color="000000"/>
            </w:tcBorders>
          </w:tcPr>
          <w:p>
            <w:pPr>
              <w:pStyle w:val="TableParagraph"/>
              <w:spacing w:line="247" w:lineRule="exact"/>
              <w:ind w:left="182"/>
              <w:rPr>
                <w:b/>
                <w:sz w:val="22"/>
              </w:rPr>
            </w:pPr>
            <w:r>
              <w:rPr>
                <w:b/>
                <w:spacing w:val="-2"/>
                <w:sz w:val="22"/>
              </w:rPr>
              <w:t>Jenis</w:t>
            </w:r>
            <w:r>
              <w:rPr>
                <w:b/>
                <w:spacing w:val="-5"/>
                <w:sz w:val="22"/>
              </w:rPr>
              <w:t> </w:t>
            </w:r>
            <w:r>
              <w:rPr>
                <w:b/>
                <w:spacing w:val="-2"/>
                <w:sz w:val="22"/>
              </w:rPr>
              <w:t>Kelamin</w:t>
            </w:r>
          </w:p>
        </w:tc>
        <w:tc>
          <w:tcPr>
            <w:tcW w:w="694" w:type="dxa"/>
            <w:tcBorders>
              <w:top w:val="single" w:sz="4" w:space="0" w:color="000000"/>
              <w:bottom w:val="single" w:sz="4" w:space="0" w:color="000000"/>
            </w:tcBorders>
          </w:tcPr>
          <w:p>
            <w:pPr>
              <w:pStyle w:val="TableParagraph"/>
              <w:rPr>
                <w:sz w:val="18"/>
              </w:rPr>
            </w:pPr>
          </w:p>
        </w:tc>
        <w:tc>
          <w:tcPr>
            <w:tcW w:w="1100" w:type="dxa"/>
            <w:tcBorders>
              <w:top w:val="single" w:sz="4" w:space="0" w:color="000000"/>
              <w:bottom w:val="single" w:sz="4" w:space="0" w:color="000000"/>
            </w:tcBorders>
          </w:tcPr>
          <w:p>
            <w:pPr>
              <w:pStyle w:val="TableParagraph"/>
              <w:rPr>
                <w:sz w:val="18"/>
              </w:rPr>
            </w:pPr>
          </w:p>
        </w:tc>
      </w:tr>
      <w:tr>
        <w:trPr>
          <w:trHeight w:val="268" w:hRule="atLeast"/>
        </w:trPr>
        <w:tc>
          <w:tcPr>
            <w:tcW w:w="2319" w:type="dxa"/>
            <w:tcBorders>
              <w:top w:val="single" w:sz="4" w:space="0" w:color="000000"/>
            </w:tcBorders>
          </w:tcPr>
          <w:p>
            <w:pPr>
              <w:pStyle w:val="TableParagraph"/>
              <w:spacing w:line="248" w:lineRule="exact" w:before="1"/>
              <w:ind w:left="585"/>
              <w:rPr>
                <w:sz w:val="22"/>
              </w:rPr>
            </w:pPr>
            <w:r>
              <w:rPr>
                <w:spacing w:val="-7"/>
                <w:sz w:val="22"/>
              </w:rPr>
              <w:t>Laki-</w:t>
            </w:r>
            <w:r>
              <w:rPr>
                <w:spacing w:val="-4"/>
                <w:sz w:val="22"/>
              </w:rPr>
              <w:t>laki</w:t>
            </w:r>
          </w:p>
        </w:tc>
        <w:tc>
          <w:tcPr>
            <w:tcW w:w="694" w:type="dxa"/>
            <w:tcBorders>
              <w:top w:val="single" w:sz="4" w:space="0" w:color="000000"/>
            </w:tcBorders>
          </w:tcPr>
          <w:p>
            <w:pPr>
              <w:pStyle w:val="TableParagraph"/>
              <w:spacing w:line="248" w:lineRule="exact" w:before="1"/>
              <w:ind w:left="102"/>
              <w:jc w:val="center"/>
              <w:rPr>
                <w:sz w:val="22"/>
              </w:rPr>
            </w:pPr>
            <w:r>
              <w:rPr>
                <w:spacing w:val="-5"/>
                <w:sz w:val="22"/>
              </w:rPr>
              <w:t>22</w:t>
            </w:r>
          </w:p>
        </w:tc>
        <w:tc>
          <w:tcPr>
            <w:tcW w:w="1100" w:type="dxa"/>
            <w:tcBorders>
              <w:top w:val="single" w:sz="4" w:space="0" w:color="000000"/>
            </w:tcBorders>
          </w:tcPr>
          <w:p>
            <w:pPr>
              <w:pStyle w:val="TableParagraph"/>
              <w:spacing w:line="248" w:lineRule="exact" w:before="1"/>
              <w:ind w:left="189"/>
              <w:rPr>
                <w:sz w:val="22"/>
              </w:rPr>
            </w:pPr>
            <w:r>
              <w:rPr>
                <w:spacing w:val="-4"/>
                <w:sz w:val="22"/>
              </w:rPr>
              <w:t>24,4</w:t>
            </w:r>
          </w:p>
        </w:tc>
      </w:tr>
      <w:tr>
        <w:trPr>
          <w:trHeight w:val="278" w:hRule="atLeast"/>
        </w:trPr>
        <w:tc>
          <w:tcPr>
            <w:tcW w:w="2319" w:type="dxa"/>
            <w:tcBorders>
              <w:bottom w:val="single" w:sz="4" w:space="0" w:color="000000"/>
            </w:tcBorders>
          </w:tcPr>
          <w:p>
            <w:pPr>
              <w:pStyle w:val="TableParagraph"/>
              <w:spacing w:line="252" w:lineRule="exact" w:before="6"/>
              <w:ind w:left="614"/>
              <w:rPr>
                <w:sz w:val="22"/>
              </w:rPr>
            </w:pPr>
            <w:r>
              <w:rPr>
                <w:spacing w:val="-2"/>
                <w:sz w:val="22"/>
              </w:rPr>
              <w:t>Perempuan</w:t>
            </w:r>
          </w:p>
        </w:tc>
        <w:tc>
          <w:tcPr>
            <w:tcW w:w="694" w:type="dxa"/>
            <w:tcBorders>
              <w:bottom w:val="single" w:sz="4" w:space="0" w:color="000000"/>
            </w:tcBorders>
          </w:tcPr>
          <w:p>
            <w:pPr>
              <w:pStyle w:val="TableParagraph"/>
              <w:spacing w:line="252" w:lineRule="exact" w:before="6"/>
              <w:ind w:left="102"/>
              <w:jc w:val="center"/>
              <w:rPr>
                <w:sz w:val="22"/>
              </w:rPr>
            </w:pPr>
            <w:r>
              <w:rPr>
                <w:spacing w:val="-5"/>
                <w:sz w:val="22"/>
              </w:rPr>
              <w:t>68</w:t>
            </w:r>
          </w:p>
        </w:tc>
        <w:tc>
          <w:tcPr>
            <w:tcW w:w="1100" w:type="dxa"/>
            <w:tcBorders>
              <w:bottom w:val="single" w:sz="4" w:space="0" w:color="000000"/>
            </w:tcBorders>
          </w:tcPr>
          <w:p>
            <w:pPr>
              <w:pStyle w:val="TableParagraph"/>
              <w:spacing w:line="252" w:lineRule="exact" w:before="6"/>
              <w:ind w:left="189"/>
              <w:rPr>
                <w:sz w:val="22"/>
              </w:rPr>
            </w:pPr>
            <w:r>
              <w:rPr>
                <w:spacing w:val="-4"/>
                <w:sz w:val="22"/>
              </w:rPr>
              <w:t>75,6</w:t>
            </w:r>
          </w:p>
        </w:tc>
      </w:tr>
      <w:tr>
        <w:trPr>
          <w:trHeight w:val="275" w:hRule="atLeast"/>
        </w:trPr>
        <w:tc>
          <w:tcPr>
            <w:tcW w:w="2319" w:type="dxa"/>
            <w:tcBorders>
              <w:top w:val="single" w:sz="4" w:space="0" w:color="000000"/>
              <w:bottom w:val="single" w:sz="4" w:space="0" w:color="000000"/>
            </w:tcBorders>
          </w:tcPr>
          <w:p>
            <w:pPr>
              <w:pStyle w:val="TableParagraph"/>
              <w:spacing w:line="251" w:lineRule="exact"/>
              <w:ind w:left="206"/>
              <w:rPr>
                <w:b/>
                <w:sz w:val="22"/>
              </w:rPr>
            </w:pPr>
            <w:r>
              <w:rPr>
                <w:b/>
                <w:spacing w:val="-2"/>
                <w:sz w:val="22"/>
              </w:rPr>
              <w:t>Tingkat</w:t>
            </w:r>
            <w:r>
              <w:rPr>
                <w:b/>
                <w:spacing w:val="-8"/>
                <w:sz w:val="22"/>
              </w:rPr>
              <w:t> </w:t>
            </w:r>
            <w:r>
              <w:rPr>
                <w:b/>
                <w:spacing w:val="-2"/>
                <w:sz w:val="22"/>
              </w:rPr>
              <w:t>Pendidikan</w:t>
            </w:r>
          </w:p>
        </w:tc>
        <w:tc>
          <w:tcPr>
            <w:tcW w:w="694" w:type="dxa"/>
            <w:tcBorders>
              <w:top w:val="single" w:sz="4" w:space="0" w:color="000000"/>
              <w:bottom w:val="single" w:sz="4" w:space="0" w:color="000000"/>
            </w:tcBorders>
          </w:tcPr>
          <w:p>
            <w:pPr>
              <w:pStyle w:val="TableParagraph"/>
              <w:rPr>
                <w:sz w:val="20"/>
              </w:rPr>
            </w:pPr>
          </w:p>
        </w:tc>
        <w:tc>
          <w:tcPr>
            <w:tcW w:w="1100" w:type="dxa"/>
            <w:tcBorders>
              <w:top w:val="single" w:sz="4" w:space="0" w:color="000000"/>
              <w:bottom w:val="single" w:sz="4" w:space="0" w:color="000000"/>
            </w:tcBorders>
          </w:tcPr>
          <w:p>
            <w:pPr>
              <w:pStyle w:val="TableParagraph"/>
              <w:rPr>
                <w:sz w:val="20"/>
              </w:rPr>
            </w:pPr>
          </w:p>
        </w:tc>
      </w:tr>
      <w:tr>
        <w:trPr>
          <w:trHeight w:val="264" w:hRule="atLeast"/>
        </w:trPr>
        <w:tc>
          <w:tcPr>
            <w:tcW w:w="2319" w:type="dxa"/>
            <w:tcBorders>
              <w:top w:val="single" w:sz="4" w:space="0" w:color="000000"/>
            </w:tcBorders>
          </w:tcPr>
          <w:p>
            <w:pPr>
              <w:pStyle w:val="TableParagraph"/>
              <w:spacing w:line="245" w:lineRule="exact"/>
              <w:ind w:left="566"/>
              <w:rPr>
                <w:sz w:val="22"/>
              </w:rPr>
            </w:pPr>
            <w:r>
              <w:rPr>
                <w:spacing w:val="-5"/>
                <w:sz w:val="22"/>
              </w:rPr>
              <w:t>SMP</w:t>
            </w:r>
          </w:p>
        </w:tc>
        <w:tc>
          <w:tcPr>
            <w:tcW w:w="694" w:type="dxa"/>
            <w:tcBorders>
              <w:top w:val="single" w:sz="4" w:space="0" w:color="000000"/>
            </w:tcBorders>
          </w:tcPr>
          <w:p>
            <w:pPr>
              <w:pStyle w:val="TableParagraph"/>
              <w:spacing w:line="245" w:lineRule="exact"/>
              <w:ind w:left="102" w:right="101"/>
              <w:jc w:val="center"/>
              <w:rPr>
                <w:sz w:val="22"/>
              </w:rPr>
            </w:pPr>
            <w:r>
              <w:rPr>
                <w:spacing w:val="-10"/>
                <w:sz w:val="22"/>
              </w:rPr>
              <w:t>7</w:t>
            </w:r>
          </w:p>
        </w:tc>
        <w:tc>
          <w:tcPr>
            <w:tcW w:w="1100" w:type="dxa"/>
            <w:tcBorders>
              <w:top w:val="single" w:sz="4" w:space="0" w:color="000000"/>
            </w:tcBorders>
          </w:tcPr>
          <w:p>
            <w:pPr>
              <w:pStyle w:val="TableParagraph"/>
              <w:spacing w:line="245" w:lineRule="exact"/>
              <w:ind w:left="189"/>
              <w:rPr>
                <w:sz w:val="22"/>
              </w:rPr>
            </w:pPr>
            <w:r>
              <w:rPr>
                <w:spacing w:val="-5"/>
                <w:sz w:val="22"/>
              </w:rPr>
              <w:t>7,8</w:t>
            </w:r>
          </w:p>
        </w:tc>
      </w:tr>
      <w:tr>
        <w:trPr>
          <w:trHeight w:val="260" w:hRule="atLeast"/>
        </w:trPr>
        <w:tc>
          <w:tcPr>
            <w:tcW w:w="2319" w:type="dxa"/>
          </w:tcPr>
          <w:p>
            <w:pPr>
              <w:pStyle w:val="TableParagraph"/>
              <w:spacing w:line="233" w:lineRule="exact" w:before="7"/>
              <w:ind w:left="566"/>
              <w:rPr>
                <w:sz w:val="22"/>
              </w:rPr>
            </w:pPr>
            <w:r>
              <w:rPr>
                <w:spacing w:val="-5"/>
                <w:sz w:val="22"/>
              </w:rPr>
              <w:t>SMA</w:t>
            </w:r>
          </w:p>
        </w:tc>
        <w:tc>
          <w:tcPr>
            <w:tcW w:w="694" w:type="dxa"/>
          </w:tcPr>
          <w:p>
            <w:pPr>
              <w:pStyle w:val="TableParagraph"/>
              <w:spacing w:line="233" w:lineRule="exact" w:before="7"/>
              <w:ind w:left="102"/>
              <w:jc w:val="center"/>
              <w:rPr>
                <w:sz w:val="22"/>
              </w:rPr>
            </w:pPr>
            <w:r>
              <w:rPr>
                <w:spacing w:val="-5"/>
                <w:sz w:val="22"/>
              </w:rPr>
              <w:t>61</w:t>
            </w:r>
          </w:p>
        </w:tc>
        <w:tc>
          <w:tcPr>
            <w:tcW w:w="1100" w:type="dxa"/>
          </w:tcPr>
          <w:p>
            <w:pPr>
              <w:pStyle w:val="TableParagraph"/>
              <w:spacing w:line="233" w:lineRule="exact" w:before="7"/>
              <w:ind w:left="189"/>
              <w:rPr>
                <w:sz w:val="22"/>
              </w:rPr>
            </w:pPr>
            <w:r>
              <w:rPr>
                <w:spacing w:val="-4"/>
                <w:sz w:val="22"/>
              </w:rPr>
              <w:t>67,8</w:t>
            </w:r>
          </w:p>
        </w:tc>
      </w:tr>
    </w:tbl>
    <w:p>
      <w:pPr>
        <w:pStyle w:val="TableParagraph"/>
        <w:spacing w:after="0" w:line="233" w:lineRule="exact"/>
        <w:rPr>
          <w:sz w:val="22"/>
        </w:rPr>
        <w:sectPr>
          <w:pgSz w:w="11910" w:h="16840"/>
          <w:pgMar w:header="0" w:footer="2031" w:top="1340" w:bottom="2300" w:left="1417" w:right="1275"/>
          <w:cols w:num="2" w:equalWidth="0">
            <w:col w:w="4187" w:space="604"/>
            <w:col w:w="4427"/>
          </w:cols>
        </w:sectPr>
      </w:pPr>
    </w:p>
    <w:p>
      <w:pPr>
        <w:tabs>
          <w:tab w:pos="4884" w:val="left" w:leader="none"/>
        </w:tabs>
        <w:spacing w:line="240" w:lineRule="auto"/>
        <w:ind w:left="16" w:right="0" w:firstLine="0"/>
        <w:rPr>
          <w:sz w:val="20"/>
        </w:rPr>
      </w:pPr>
      <w:r>
        <w:rPr>
          <w:sz w:val="20"/>
        </w:rPr>
        <mc:AlternateContent>
          <mc:Choice Requires="wps">
            <w:drawing>
              <wp:inline distT="0" distB="0" distL="0" distR="0">
                <wp:extent cx="2615565" cy="363220"/>
                <wp:effectExtent l="0" t="0" r="0" b="0"/>
                <wp:docPr id="2" name="Textbox 2"/>
                <wp:cNvGraphicFramePr>
                  <a:graphicFrameLocks/>
                </wp:cNvGraphicFramePr>
                <a:graphic>
                  <a:graphicData uri="http://schemas.microsoft.com/office/word/2010/wordprocessingShape">
                    <wps:wsp>
                      <wps:cNvPr id="2" name="Textbox 2"/>
                      <wps:cNvSpPr txBox="1"/>
                      <wps:spPr>
                        <a:xfrm>
                          <a:off x="0" y="0"/>
                          <a:ext cx="2615565" cy="363220"/>
                        </a:xfrm>
                        <a:prstGeom prst="rect">
                          <a:avLst/>
                        </a:prstGeom>
                      </wps:spPr>
                      <wps:txbx>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55"/>
                              <w:gridCol w:w="780"/>
                              <w:gridCol w:w="984"/>
                            </w:tblGrid>
                            <w:tr>
                              <w:trPr>
                                <w:trHeight w:val="270" w:hRule="atLeast"/>
                              </w:trPr>
                              <w:tc>
                                <w:tcPr>
                                  <w:tcW w:w="2355" w:type="dxa"/>
                                  <w:tcBorders>
                                    <w:bottom w:val="single" w:sz="4" w:space="0" w:color="000000"/>
                                  </w:tcBorders>
                                </w:tcPr>
                                <w:p>
                                  <w:pPr>
                                    <w:pStyle w:val="TableParagraph"/>
                                    <w:spacing w:line="244" w:lineRule="exact"/>
                                    <w:ind w:left="573"/>
                                    <w:rPr>
                                      <w:sz w:val="22"/>
                                    </w:rPr>
                                  </w:pPr>
                                  <w:r>
                                    <w:rPr>
                                      <w:spacing w:val="-2"/>
                                      <w:sz w:val="22"/>
                                    </w:rPr>
                                    <w:t>Perguruan</w:t>
                                  </w:r>
                                  <w:r>
                                    <w:rPr>
                                      <w:spacing w:val="-7"/>
                                      <w:sz w:val="22"/>
                                    </w:rPr>
                                    <w:t> </w:t>
                                  </w:r>
                                  <w:r>
                                    <w:rPr>
                                      <w:spacing w:val="-2"/>
                                      <w:sz w:val="22"/>
                                    </w:rPr>
                                    <w:t>Tinggi</w:t>
                                  </w:r>
                                </w:p>
                              </w:tc>
                              <w:tc>
                                <w:tcPr>
                                  <w:tcW w:w="780" w:type="dxa"/>
                                  <w:tcBorders>
                                    <w:bottom w:val="single" w:sz="4" w:space="0" w:color="000000"/>
                                  </w:tcBorders>
                                </w:tcPr>
                                <w:p>
                                  <w:pPr>
                                    <w:pStyle w:val="TableParagraph"/>
                                    <w:spacing w:line="244" w:lineRule="exact"/>
                                    <w:ind w:right="38"/>
                                    <w:jc w:val="center"/>
                                    <w:rPr>
                                      <w:sz w:val="22"/>
                                    </w:rPr>
                                  </w:pPr>
                                  <w:r>
                                    <w:rPr>
                                      <w:spacing w:val="-5"/>
                                      <w:sz w:val="22"/>
                                    </w:rPr>
                                    <w:t>22</w:t>
                                  </w:r>
                                </w:p>
                              </w:tc>
                              <w:tc>
                                <w:tcPr>
                                  <w:tcW w:w="984" w:type="dxa"/>
                                  <w:tcBorders>
                                    <w:bottom w:val="single" w:sz="4" w:space="0" w:color="000000"/>
                                  </w:tcBorders>
                                </w:tcPr>
                                <w:p>
                                  <w:pPr>
                                    <w:pStyle w:val="TableParagraph"/>
                                    <w:spacing w:line="244" w:lineRule="exact"/>
                                    <w:ind w:left="50" w:right="48"/>
                                    <w:jc w:val="center"/>
                                    <w:rPr>
                                      <w:sz w:val="22"/>
                                    </w:rPr>
                                  </w:pPr>
                                  <w:r>
                                    <w:rPr>
                                      <w:spacing w:val="-4"/>
                                      <w:sz w:val="22"/>
                                    </w:rPr>
                                    <w:t>24,4</w:t>
                                  </w:r>
                                </w:p>
                              </w:tc>
                            </w:tr>
                            <w:tr>
                              <w:trPr>
                                <w:trHeight w:val="275" w:hRule="atLeast"/>
                              </w:trPr>
                              <w:tc>
                                <w:tcPr>
                                  <w:tcW w:w="2355" w:type="dxa"/>
                                  <w:tcBorders>
                                    <w:top w:val="single" w:sz="4" w:space="0" w:color="000000"/>
                                    <w:bottom w:val="single" w:sz="4" w:space="0" w:color="000000"/>
                                  </w:tcBorders>
                                </w:tcPr>
                                <w:p>
                                  <w:pPr>
                                    <w:pStyle w:val="TableParagraph"/>
                                    <w:spacing w:line="249" w:lineRule="exact"/>
                                    <w:ind w:left="213"/>
                                    <w:rPr>
                                      <w:sz w:val="22"/>
                                    </w:rPr>
                                  </w:pPr>
                                  <w:r>
                                    <w:rPr>
                                      <w:spacing w:val="-2"/>
                                      <w:sz w:val="22"/>
                                    </w:rPr>
                                    <w:t>Jumlah</w:t>
                                  </w:r>
                                </w:p>
                              </w:tc>
                              <w:tc>
                                <w:tcPr>
                                  <w:tcW w:w="780" w:type="dxa"/>
                                  <w:tcBorders>
                                    <w:top w:val="single" w:sz="4" w:space="0" w:color="000000"/>
                                    <w:bottom w:val="single" w:sz="4" w:space="0" w:color="000000"/>
                                  </w:tcBorders>
                                </w:tcPr>
                                <w:p>
                                  <w:pPr>
                                    <w:pStyle w:val="TableParagraph"/>
                                    <w:spacing w:line="249" w:lineRule="exact"/>
                                    <w:ind w:right="38"/>
                                    <w:jc w:val="center"/>
                                    <w:rPr>
                                      <w:sz w:val="22"/>
                                    </w:rPr>
                                  </w:pPr>
                                  <w:r>
                                    <w:rPr>
                                      <w:spacing w:val="-5"/>
                                      <w:sz w:val="22"/>
                                    </w:rPr>
                                    <w:t>90</w:t>
                                  </w:r>
                                </w:p>
                              </w:tc>
                              <w:tc>
                                <w:tcPr>
                                  <w:tcW w:w="984" w:type="dxa"/>
                                  <w:tcBorders>
                                    <w:top w:val="single" w:sz="4" w:space="0" w:color="000000"/>
                                    <w:bottom w:val="single" w:sz="4" w:space="0" w:color="000000"/>
                                  </w:tcBorders>
                                </w:tcPr>
                                <w:p>
                                  <w:pPr>
                                    <w:pStyle w:val="TableParagraph"/>
                                    <w:spacing w:line="249" w:lineRule="exact"/>
                                    <w:ind w:left="2" w:right="50"/>
                                    <w:jc w:val="center"/>
                                    <w:rPr>
                                      <w:sz w:val="22"/>
                                    </w:rPr>
                                  </w:pPr>
                                  <w:r>
                                    <w:rPr>
                                      <w:spacing w:val="-5"/>
                                      <w:sz w:val="22"/>
                                    </w:rPr>
                                    <w:t>100</w:t>
                                  </w:r>
                                </w:p>
                              </w:tc>
                            </w:tr>
                          </w:tbl>
                          <w:p>
                            <w:pPr>
                              <w:pStyle w:val="BodyText"/>
                              <w:ind w:left="0"/>
                              <w:jc w:val="left"/>
                            </w:pPr>
                          </w:p>
                        </w:txbxContent>
                      </wps:txbx>
                      <wps:bodyPr wrap="square" lIns="0" tIns="0" rIns="0" bIns="0" rtlCol="0">
                        <a:noAutofit/>
                      </wps:bodyPr>
                    </wps:wsp>
                  </a:graphicData>
                </a:graphic>
              </wp:inline>
            </w:drawing>
          </mc:Choice>
          <mc:Fallback>
            <w:pict>
              <v:shape style="width:205.95pt;height:28.6pt;mso-position-horizontal-relative:char;mso-position-vertical-relative:line" type="#_x0000_t202" id="docshape2" filled="false" stroked="false">
                <w10:anchorlock/>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55"/>
                        <w:gridCol w:w="780"/>
                        <w:gridCol w:w="984"/>
                      </w:tblGrid>
                      <w:tr>
                        <w:trPr>
                          <w:trHeight w:val="270" w:hRule="atLeast"/>
                        </w:trPr>
                        <w:tc>
                          <w:tcPr>
                            <w:tcW w:w="2355" w:type="dxa"/>
                            <w:tcBorders>
                              <w:bottom w:val="single" w:sz="4" w:space="0" w:color="000000"/>
                            </w:tcBorders>
                          </w:tcPr>
                          <w:p>
                            <w:pPr>
                              <w:pStyle w:val="TableParagraph"/>
                              <w:spacing w:line="244" w:lineRule="exact"/>
                              <w:ind w:left="573"/>
                              <w:rPr>
                                <w:sz w:val="22"/>
                              </w:rPr>
                            </w:pPr>
                            <w:r>
                              <w:rPr>
                                <w:spacing w:val="-2"/>
                                <w:sz w:val="22"/>
                              </w:rPr>
                              <w:t>Perguruan</w:t>
                            </w:r>
                            <w:r>
                              <w:rPr>
                                <w:spacing w:val="-7"/>
                                <w:sz w:val="22"/>
                              </w:rPr>
                              <w:t> </w:t>
                            </w:r>
                            <w:r>
                              <w:rPr>
                                <w:spacing w:val="-2"/>
                                <w:sz w:val="22"/>
                              </w:rPr>
                              <w:t>Tinggi</w:t>
                            </w:r>
                          </w:p>
                        </w:tc>
                        <w:tc>
                          <w:tcPr>
                            <w:tcW w:w="780" w:type="dxa"/>
                            <w:tcBorders>
                              <w:bottom w:val="single" w:sz="4" w:space="0" w:color="000000"/>
                            </w:tcBorders>
                          </w:tcPr>
                          <w:p>
                            <w:pPr>
                              <w:pStyle w:val="TableParagraph"/>
                              <w:spacing w:line="244" w:lineRule="exact"/>
                              <w:ind w:right="38"/>
                              <w:jc w:val="center"/>
                              <w:rPr>
                                <w:sz w:val="22"/>
                              </w:rPr>
                            </w:pPr>
                            <w:r>
                              <w:rPr>
                                <w:spacing w:val="-5"/>
                                <w:sz w:val="22"/>
                              </w:rPr>
                              <w:t>22</w:t>
                            </w:r>
                          </w:p>
                        </w:tc>
                        <w:tc>
                          <w:tcPr>
                            <w:tcW w:w="984" w:type="dxa"/>
                            <w:tcBorders>
                              <w:bottom w:val="single" w:sz="4" w:space="0" w:color="000000"/>
                            </w:tcBorders>
                          </w:tcPr>
                          <w:p>
                            <w:pPr>
                              <w:pStyle w:val="TableParagraph"/>
                              <w:spacing w:line="244" w:lineRule="exact"/>
                              <w:ind w:left="50" w:right="48"/>
                              <w:jc w:val="center"/>
                              <w:rPr>
                                <w:sz w:val="22"/>
                              </w:rPr>
                            </w:pPr>
                            <w:r>
                              <w:rPr>
                                <w:spacing w:val="-4"/>
                                <w:sz w:val="22"/>
                              </w:rPr>
                              <w:t>24,4</w:t>
                            </w:r>
                          </w:p>
                        </w:tc>
                      </w:tr>
                      <w:tr>
                        <w:trPr>
                          <w:trHeight w:val="275" w:hRule="atLeast"/>
                        </w:trPr>
                        <w:tc>
                          <w:tcPr>
                            <w:tcW w:w="2355" w:type="dxa"/>
                            <w:tcBorders>
                              <w:top w:val="single" w:sz="4" w:space="0" w:color="000000"/>
                              <w:bottom w:val="single" w:sz="4" w:space="0" w:color="000000"/>
                            </w:tcBorders>
                          </w:tcPr>
                          <w:p>
                            <w:pPr>
                              <w:pStyle w:val="TableParagraph"/>
                              <w:spacing w:line="249" w:lineRule="exact"/>
                              <w:ind w:left="213"/>
                              <w:rPr>
                                <w:sz w:val="22"/>
                              </w:rPr>
                            </w:pPr>
                            <w:r>
                              <w:rPr>
                                <w:spacing w:val="-2"/>
                                <w:sz w:val="22"/>
                              </w:rPr>
                              <w:t>Jumlah</w:t>
                            </w:r>
                          </w:p>
                        </w:tc>
                        <w:tc>
                          <w:tcPr>
                            <w:tcW w:w="780" w:type="dxa"/>
                            <w:tcBorders>
                              <w:top w:val="single" w:sz="4" w:space="0" w:color="000000"/>
                              <w:bottom w:val="single" w:sz="4" w:space="0" w:color="000000"/>
                            </w:tcBorders>
                          </w:tcPr>
                          <w:p>
                            <w:pPr>
                              <w:pStyle w:val="TableParagraph"/>
                              <w:spacing w:line="249" w:lineRule="exact"/>
                              <w:ind w:right="38"/>
                              <w:jc w:val="center"/>
                              <w:rPr>
                                <w:sz w:val="22"/>
                              </w:rPr>
                            </w:pPr>
                            <w:r>
                              <w:rPr>
                                <w:spacing w:val="-5"/>
                                <w:sz w:val="22"/>
                              </w:rPr>
                              <w:t>90</w:t>
                            </w:r>
                          </w:p>
                        </w:tc>
                        <w:tc>
                          <w:tcPr>
                            <w:tcW w:w="984" w:type="dxa"/>
                            <w:tcBorders>
                              <w:top w:val="single" w:sz="4" w:space="0" w:color="000000"/>
                              <w:bottom w:val="single" w:sz="4" w:space="0" w:color="000000"/>
                            </w:tcBorders>
                          </w:tcPr>
                          <w:p>
                            <w:pPr>
                              <w:pStyle w:val="TableParagraph"/>
                              <w:spacing w:line="249" w:lineRule="exact"/>
                              <w:ind w:left="2" w:right="50"/>
                              <w:jc w:val="center"/>
                              <w:rPr>
                                <w:sz w:val="22"/>
                              </w:rPr>
                            </w:pPr>
                            <w:r>
                              <w:rPr>
                                <w:spacing w:val="-5"/>
                                <w:sz w:val="22"/>
                              </w:rPr>
                              <w:t>100</w:t>
                            </w:r>
                          </w:p>
                        </w:tc>
                      </w:tr>
                    </w:tbl>
                    <w:p>
                      <w:pPr>
                        <w:pStyle w:val="BodyText"/>
                        <w:ind w:left="0"/>
                        <w:jc w:val="left"/>
                      </w:pPr>
                    </w:p>
                  </w:txbxContent>
                </v:textbox>
              </v:shape>
            </w:pict>
          </mc:Fallback>
        </mc:AlternateContent>
      </w:r>
      <w:r>
        <w:rPr>
          <w:sz w:val="20"/>
        </w:rPr>
      </w:r>
      <w:r>
        <w:rPr>
          <w:sz w:val="20"/>
        </w:rPr>
        <w:tab/>
      </w:r>
      <w:r>
        <w:rPr>
          <w:sz w:val="20"/>
        </w:rPr>
        <mc:AlternateContent>
          <mc:Choice Requires="wps">
            <w:drawing>
              <wp:inline distT="0" distB="0" distL="0" distR="0">
                <wp:extent cx="2616200" cy="356870"/>
                <wp:effectExtent l="0" t="0" r="0" b="0"/>
                <wp:docPr id="3" name="Textbox 3"/>
                <wp:cNvGraphicFramePr>
                  <a:graphicFrameLocks/>
                </wp:cNvGraphicFramePr>
                <a:graphic>
                  <a:graphicData uri="http://schemas.microsoft.com/office/word/2010/wordprocessingShape">
                    <wps:wsp>
                      <wps:cNvPr id="3" name="Textbox 3"/>
                      <wps:cNvSpPr txBox="1"/>
                      <wps:spPr>
                        <a:xfrm>
                          <a:off x="0" y="0"/>
                          <a:ext cx="2616200" cy="356870"/>
                        </a:xfrm>
                        <a:prstGeom prst="rect">
                          <a:avLst/>
                        </a:prstGeom>
                      </wps:spPr>
                      <wps:txbx>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15"/>
                              <w:gridCol w:w="1320"/>
                              <w:gridCol w:w="1383"/>
                            </w:tblGrid>
                            <w:tr>
                              <w:trPr>
                                <w:trHeight w:val="266" w:hRule="atLeast"/>
                              </w:trPr>
                              <w:tc>
                                <w:tcPr>
                                  <w:tcW w:w="1415" w:type="dxa"/>
                                  <w:tcBorders>
                                    <w:bottom w:val="single" w:sz="4" w:space="0" w:color="000000"/>
                                  </w:tcBorders>
                                </w:tcPr>
                                <w:p>
                                  <w:pPr>
                                    <w:pStyle w:val="TableParagraph"/>
                                    <w:spacing w:line="244" w:lineRule="exact"/>
                                    <w:ind w:left="7"/>
                                    <w:rPr>
                                      <w:sz w:val="22"/>
                                    </w:rPr>
                                  </w:pPr>
                                  <w:r>
                                    <w:rPr>
                                      <w:spacing w:val="-4"/>
                                      <w:sz w:val="22"/>
                                    </w:rPr>
                                    <w:t>Baik</w:t>
                                  </w:r>
                                </w:p>
                              </w:tc>
                              <w:tc>
                                <w:tcPr>
                                  <w:tcW w:w="1320" w:type="dxa"/>
                                  <w:tcBorders>
                                    <w:bottom w:val="single" w:sz="4" w:space="0" w:color="000000"/>
                                  </w:tcBorders>
                                </w:tcPr>
                                <w:p>
                                  <w:pPr>
                                    <w:pStyle w:val="TableParagraph"/>
                                    <w:spacing w:line="244" w:lineRule="exact"/>
                                    <w:ind w:right="327"/>
                                    <w:jc w:val="right"/>
                                    <w:rPr>
                                      <w:sz w:val="22"/>
                                    </w:rPr>
                                  </w:pPr>
                                  <w:r>
                                    <w:rPr>
                                      <w:spacing w:val="-5"/>
                                      <w:sz w:val="22"/>
                                    </w:rPr>
                                    <w:t>43</w:t>
                                  </w:r>
                                </w:p>
                              </w:tc>
                              <w:tc>
                                <w:tcPr>
                                  <w:tcW w:w="1383" w:type="dxa"/>
                                  <w:tcBorders>
                                    <w:bottom w:val="single" w:sz="4" w:space="0" w:color="000000"/>
                                  </w:tcBorders>
                                </w:tcPr>
                                <w:p>
                                  <w:pPr>
                                    <w:pStyle w:val="TableParagraph"/>
                                    <w:spacing w:line="244" w:lineRule="exact"/>
                                    <w:ind w:left="330"/>
                                    <w:rPr>
                                      <w:sz w:val="22"/>
                                    </w:rPr>
                                  </w:pPr>
                                  <w:r>
                                    <w:rPr>
                                      <w:spacing w:val="-4"/>
                                      <w:sz w:val="22"/>
                                    </w:rPr>
                                    <w:t>47,8</w:t>
                                  </w:r>
                                </w:p>
                              </w:tc>
                            </w:tr>
                            <w:tr>
                              <w:trPr>
                                <w:trHeight w:val="270" w:hRule="atLeast"/>
                              </w:trPr>
                              <w:tc>
                                <w:tcPr>
                                  <w:tcW w:w="1415" w:type="dxa"/>
                                  <w:tcBorders>
                                    <w:top w:val="single" w:sz="4" w:space="0" w:color="000000"/>
                                    <w:bottom w:val="single" w:sz="4" w:space="0" w:color="000000"/>
                                  </w:tcBorders>
                                </w:tcPr>
                                <w:p>
                                  <w:pPr>
                                    <w:pStyle w:val="TableParagraph"/>
                                    <w:spacing w:line="247" w:lineRule="exact"/>
                                    <w:ind w:left="7"/>
                                    <w:rPr>
                                      <w:sz w:val="22"/>
                                    </w:rPr>
                                  </w:pPr>
                                  <w:r>
                                    <w:rPr>
                                      <w:spacing w:val="-2"/>
                                      <w:sz w:val="22"/>
                                    </w:rPr>
                                    <w:t>Jumlah</w:t>
                                  </w:r>
                                </w:p>
                              </w:tc>
                              <w:tc>
                                <w:tcPr>
                                  <w:tcW w:w="1320" w:type="dxa"/>
                                  <w:tcBorders>
                                    <w:top w:val="single" w:sz="4" w:space="0" w:color="000000"/>
                                    <w:bottom w:val="single" w:sz="4" w:space="0" w:color="000000"/>
                                  </w:tcBorders>
                                </w:tcPr>
                                <w:p>
                                  <w:pPr>
                                    <w:pStyle w:val="TableParagraph"/>
                                    <w:spacing w:line="247" w:lineRule="exact"/>
                                    <w:ind w:right="327"/>
                                    <w:jc w:val="right"/>
                                    <w:rPr>
                                      <w:sz w:val="22"/>
                                    </w:rPr>
                                  </w:pPr>
                                  <w:r>
                                    <w:rPr>
                                      <w:spacing w:val="-5"/>
                                      <w:sz w:val="22"/>
                                    </w:rPr>
                                    <w:t>90</w:t>
                                  </w:r>
                                </w:p>
                              </w:tc>
                              <w:tc>
                                <w:tcPr>
                                  <w:tcW w:w="1383" w:type="dxa"/>
                                  <w:tcBorders>
                                    <w:top w:val="single" w:sz="4" w:space="0" w:color="000000"/>
                                    <w:bottom w:val="single" w:sz="4" w:space="0" w:color="000000"/>
                                  </w:tcBorders>
                                </w:tcPr>
                                <w:p>
                                  <w:pPr>
                                    <w:pStyle w:val="TableParagraph"/>
                                    <w:spacing w:line="247" w:lineRule="exact"/>
                                    <w:ind w:left="330"/>
                                    <w:rPr>
                                      <w:sz w:val="22"/>
                                    </w:rPr>
                                  </w:pPr>
                                  <w:r>
                                    <w:rPr>
                                      <w:spacing w:val="-5"/>
                                      <w:sz w:val="22"/>
                                    </w:rPr>
                                    <w:t>100</w:t>
                                  </w:r>
                                </w:p>
                              </w:tc>
                            </w:tr>
                          </w:tbl>
                          <w:p>
                            <w:pPr>
                              <w:pStyle w:val="BodyText"/>
                              <w:ind w:left="0"/>
                              <w:jc w:val="left"/>
                            </w:pPr>
                          </w:p>
                        </w:txbxContent>
                      </wps:txbx>
                      <wps:bodyPr wrap="square" lIns="0" tIns="0" rIns="0" bIns="0" rtlCol="0">
                        <a:noAutofit/>
                      </wps:bodyPr>
                    </wps:wsp>
                  </a:graphicData>
                </a:graphic>
              </wp:inline>
            </w:drawing>
          </mc:Choice>
          <mc:Fallback>
            <w:pict>
              <v:shape style="width:206pt;height:28.1pt;mso-position-horizontal-relative:char;mso-position-vertical-relative:line" type="#_x0000_t202" id="docshape3" filled="false" stroked="false">
                <w10:anchorlock/>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15"/>
                        <w:gridCol w:w="1320"/>
                        <w:gridCol w:w="1383"/>
                      </w:tblGrid>
                      <w:tr>
                        <w:trPr>
                          <w:trHeight w:val="266" w:hRule="atLeast"/>
                        </w:trPr>
                        <w:tc>
                          <w:tcPr>
                            <w:tcW w:w="1415" w:type="dxa"/>
                            <w:tcBorders>
                              <w:bottom w:val="single" w:sz="4" w:space="0" w:color="000000"/>
                            </w:tcBorders>
                          </w:tcPr>
                          <w:p>
                            <w:pPr>
                              <w:pStyle w:val="TableParagraph"/>
                              <w:spacing w:line="244" w:lineRule="exact"/>
                              <w:ind w:left="7"/>
                              <w:rPr>
                                <w:sz w:val="22"/>
                              </w:rPr>
                            </w:pPr>
                            <w:r>
                              <w:rPr>
                                <w:spacing w:val="-4"/>
                                <w:sz w:val="22"/>
                              </w:rPr>
                              <w:t>Baik</w:t>
                            </w:r>
                          </w:p>
                        </w:tc>
                        <w:tc>
                          <w:tcPr>
                            <w:tcW w:w="1320" w:type="dxa"/>
                            <w:tcBorders>
                              <w:bottom w:val="single" w:sz="4" w:space="0" w:color="000000"/>
                            </w:tcBorders>
                          </w:tcPr>
                          <w:p>
                            <w:pPr>
                              <w:pStyle w:val="TableParagraph"/>
                              <w:spacing w:line="244" w:lineRule="exact"/>
                              <w:ind w:right="327"/>
                              <w:jc w:val="right"/>
                              <w:rPr>
                                <w:sz w:val="22"/>
                              </w:rPr>
                            </w:pPr>
                            <w:r>
                              <w:rPr>
                                <w:spacing w:val="-5"/>
                                <w:sz w:val="22"/>
                              </w:rPr>
                              <w:t>43</w:t>
                            </w:r>
                          </w:p>
                        </w:tc>
                        <w:tc>
                          <w:tcPr>
                            <w:tcW w:w="1383" w:type="dxa"/>
                            <w:tcBorders>
                              <w:bottom w:val="single" w:sz="4" w:space="0" w:color="000000"/>
                            </w:tcBorders>
                          </w:tcPr>
                          <w:p>
                            <w:pPr>
                              <w:pStyle w:val="TableParagraph"/>
                              <w:spacing w:line="244" w:lineRule="exact"/>
                              <w:ind w:left="330"/>
                              <w:rPr>
                                <w:sz w:val="22"/>
                              </w:rPr>
                            </w:pPr>
                            <w:r>
                              <w:rPr>
                                <w:spacing w:val="-4"/>
                                <w:sz w:val="22"/>
                              </w:rPr>
                              <w:t>47,8</w:t>
                            </w:r>
                          </w:p>
                        </w:tc>
                      </w:tr>
                      <w:tr>
                        <w:trPr>
                          <w:trHeight w:val="270" w:hRule="atLeast"/>
                        </w:trPr>
                        <w:tc>
                          <w:tcPr>
                            <w:tcW w:w="1415" w:type="dxa"/>
                            <w:tcBorders>
                              <w:top w:val="single" w:sz="4" w:space="0" w:color="000000"/>
                              <w:bottom w:val="single" w:sz="4" w:space="0" w:color="000000"/>
                            </w:tcBorders>
                          </w:tcPr>
                          <w:p>
                            <w:pPr>
                              <w:pStyle w:val="TableParagraph"/>
                              <w:spacing w:line="247" w:lineRule="exact"/>
                              <w:ind w:left="7"/>
                              <w:rPr>
                                <w:sz w:val="22"/>
                              </w:rPr>
                            </w:pPr>
                            <w:r>
                              <w:rPr>
                                <w:spacing w:val="-2"/>
                                <w:sz w:val="22"/>
                              </w:rPr>
                              <w:t>Jumlah</w:t>
                            </w:r>
                          </w:p>
                        </w:tc>
                        <w:tc>
                          <w:tcPr>
                            <w:tcW w:w="1320" w:type="dxa"/>
                            <w:tcBorders>
                              <w:top w:val="single" w:sz="4" w:space="0" w:color="000000"/>
                              <w:bottom w:val="single" w:sz="4" w:space="0" w:color="000000"/>
                            </w:tcBorders>
                          </w:tcPr>
                          <w:p>
                            <w:pPr>
                              <w:pStyle w:val="TableParagraph"/>
                              <w:spacing w:line="247" w:lineRule="exact"/>
                              <w:ind w:right="327"/>
                              <w:jc w:val="right"/>
                              <w:rPr>
                                <w:sz w:val="22"/>
                              </w:rPr>
                            </w:pPr>
                            <w:r>
                              <w:rPr>
                                <w:spacing w:val="-5"/>
                                <w:sz w:val="22"/>
                              </w:rPr>
                              <w:t>90</w:t>
                            </w:r>
                          </w:p>
                        </w:tc>
                        <w:tc>
                          <w:tcPr>
                            <w:tcW w:w="1383" w:type="dxa"/>
                            <w:tcBorders>
                              <w:top w:val="single" w:sz="4" w:space="0" w:color="000000"/>
                              <w:bottom w:val="single" w:sz="4" w:space="0" w:color="000000"/>
                            </w:tcBorders>
                          </w:tcPr>
                          <w:p>
                            <w:pPr>
                              <w:pStyle w:val="TableParagraph"/>
                              <w:spacing w:line="247" w:lineRule="exact"/>
                              <w:ind w:left="330"/>
                              <w:rPr>
                                <w:sz w:val="22"/>
                              </w:rPr>
                            </w:pPr>
                            <w:r>
                              <w:rPr>
                                <w:spacing w:val="-5"/>
                                <w:sz w:val="22"/>
                              </w:rPr>
                              <w:t>100</w:t>
                            </w:r>
                          </w:p>
                        </w:tc>
                      </w:tr>
                    </w:tbl>
                    <w:p>
                      <w:pPr>
                        <w:pStyle w:val="BodyText"/>
                        <w:ind w:left="0"/>
                        <w:jc w:val="left"/>
                      </w:pPr>
                    </w:p>
                  </w:txbxContent>
                </v:textbox>
              </v:shape>
            </w:pict>
          </mc:Fallback>
        </mc:AlternateContent>
      </w:r>
      <w:r>
        <w:rPr>
          <w:sz w:val="20"/>
        </w:rPr>
      </w:r>
    </w:p>
    <w:p>
      <w:pPr>
        <w:pStyle w:val="BodyText"/>
        <w:spacing w:before="1"/>
        <w:ind w:left="0"/>
        <w:jc w:val="left"/>
        <w:rPr>
          <w:b/>
          <w:sz w:val="6"/>
        </w:rPr>
      </w:pPr>
    </w:p>
    <w:p>
      <w:pPr>
        <w:pStyle w:val="BodyText"/>
        <w:spacing w:after="0"/>
        <w:jc w:val="left"/>
        <w:rPr>
          <w:b/>
          <w:sz w:val="6"/>
        </w:rPr>
        <w:sectPr>
          <w:pgSz w:w="11910" w:h="16840"/>
          <w:pgMar w:header="0" w:footer="2031" w:top="1400" w:bottom="2240" w:left="1417" w:right="1275"/>
        </w:sectPr>
      </w:pPr>
    </w:p>
    <w:p>
      <w:pPr>
        <w:pStyle w:val="BodyText"/>
        <w:spacing w:before="70"/>
        <w:ind w:firstLine="719"/>
      </w:pPr>
      <w:r>
        <w:rPr/>
        <w:t>Tabel 1 diketahui bahwa karakteristik responden di Kelurahan Wek II Kota Padangsidimpuan Tahun 2026 menurut umur mayoritas berada pada kategori dewasa akhir (36-45 tahun) sebanyak 30 orang (33,3%) dan minoritas berada pada kategori remaja akhir (17-25 tahun) sebanyak 2 orang (2,2%). Berdasarkan jenis kelamin, mayoritas responden adalah perempuan sebanyak 68 orang (75,6%) dan minoritas adalah laki-laki sebanyak 22 orang (24,4%). Sementara itu, menurut tingkat pendidikan mayoritas berpendidikan SMA sebanyak 61 orang (67,8%) dan minoritas berpendidikan SMP sebanyak 7 orang (7,8%).</w:t>
      </w:r>
    </w:p>
    <w:p>
      <w:pPr>
        <w:pStyle w:val="Heading2"/>
        <w:spacing w:before="120"/>
        <w:ind w:right="50"/>
      </w:pPr>
      <w:r>
        <w:rPr/>
        <w:t>Tabel 2. Distribusi Frekuensi Pengetahuan Responden di Kelurahan Wek II Kota Padangsidimpuan Tahun 2026</w:t>
      </w:r>
    </w:p>
    <w:p>
      <w:pPr>
        <w:pStyle w:val="BodyText"/>
        <w:spacing w:before="6"/>
        <w:ind w:left="0"/>
        <w:jc w:val="left"/>
        <w:rPr>
          <w:b/>
          <w:sz w:val="10"/>
        </w:rPr>
      </w:pPr>
    </w:p>
    <w:tbl>
      <w:tblPr>
        <w:tblW w:w="0" w:type="auto"/>
        <w:jc w:val="left"/>
        <w:tblInd w:w="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60"/>
        <w:gridCol w:w="1079"/>
        <w:gridCol w:w="1480"/>
      </w:tblGrid>
      <w:tr>
        <w:trPr>
          <w:trHeight w:val="277" w:hRule="atLeast"/>
        </w:trPr>
        <w:tc>
          <w:tcPr>
            <w:tcW w:w="1560" w:type="dxa"/>
            <w:tcBorders>
              <w:top w:val="single" w:sz="4" w:space="0" w:color="000000"/>
              <w:bottom w:val="single" w:sz="4" w:space="0" w:color="000000"/>
            </w:tcBorders>
          </w:tcPr>
          <w:p>
            <w:pPr>
              <w:pStyle w:val="TableParagraph"/>
              <w:spacing w:before="1"/>
              <w:ind w:left="7"/>
              <w:rPr>
                <w:b/>
                <w:sz w:val="22"/>
              </w:rPr>
            </w:pPr>
            <w:r>
              <w:rPr>
                <w:b/>
                <w:spacing w:val="-2"/>
                <w:sz w:val="22"/>
              </w:rPr>
              <w:t>Pengetahuan</w:t>
            </w:r>
          </w:p>
        </w:tc>
        <w:tc>
          <w:tcPr>
            <w:tcW w:w="1079" w:type="dxa"/>
            <w:tcBorders>
              <w:top w:val="single" w:sz="4" w:space="0" w:color="000000"/>
              <w:bottom w:val="single" w:sz="4" w:space="0" w:color="000000"/>
            </w:tcBorders>
          </w:tcPr>
          <w:p>
            <w:pPr>
              <w:pStyle w:val="TableParagraph"/>
              <w:spacing w:before="1"/>
              <w:ind w:left="395"/>
              <w:rPr>
                <w:b/>
                <w:sz w:val="22"/>
              </w:rPr>
            </w:pPr>
            <w:r>
              <w:rPr>
                <w:b/>
                <w:spacing w:val="-10"/>
                <w:sz w:val="22"/>
              </w:rPr>
              <w:t>N</w:t>
            </w:r>
          </w:p>
        </w:tc>
        <w:tc>
          <w:tcPr>
            <w:tcW w:w="1480" w:type="dxa"/>
            <w:tcBorders>
              <w:top w:val="single" w:sz="4" w:space="0" w:color="000000"/>
              <w:bottom w:val="single" w:sz="4" w:space="0" w:color="000000"/>
            </w:tcBorders>
          </w:tcPr>
          <w:p>
            <w:pPr>
              <w:pStyle w:val="TableParagraph"/>
              <w:spacing w:before="1"/>
              <w:ind w:left="517"/>
              <w:rPr>
                <w:b/>
                <w:sz w:val="22"/>
              </w:rPr>
            </w:pPr>
            <w:r>
              <w:rPr>
                <w:b/>
                <w:spacing w:val="-10"/>
                <w:sz w:val="22"/>
              </w:rPr>
              <w:t>%</w:t>
            </w:r>
          </w:p>
        </w:tc>
      </w:tr>
      <w:tr>
        <w:trPr>
          <w:trHeight w:val="267" w:hRule="atLeast"/>
        </w:trPr>
        <w:tc>
          <w:tcPr>
            <w:tcW w:w="1560" w:type="dxa"/>
            <w:tcBorders>
              <w:top w:val="single" w:sz="4" w:space="0" w:color="000000"/>
            </w:tcBorders>
          </w:tcPr>
          <w:p>
            <w:pPr>
              <w:pStyle w:val="TableParagraph"/>
              <w:spacing w:line="246" w:lineRule="exact" w:before="1"/>
              <w:ind w:left="7"/>
              <w:rPr>
                <w:sz w:val="22"/>
              </w:rPr>
            </w:pPr>
            <w:r>
              <w:rPr>
                <w:spacing w:val="-2"/>
                <w:sz w:val="22"/>
              </w:rPr>
              <w:t>Kurang</w:t>
            </w:r>
          </w:p>
        </w:tc>
        <w:tc>
          <w:tcPr>
            <w:tcW w:w="1079" w:type="dxa"/>
            <w:tcBorders>
              <w:top w:val="single" w:sz="4" w:space="0" w:color="000000"/>
            </w:tcBorders>
          </w:tcPr>
          <w:p>
            <w:pPr>
              <w:pStyle w:val="TableParagraph"/>
              <w:spacing w:line="246" w:lineRule="exact" w:before="1"/>
              <w:ind w:left="350"/>
              <w:rPr>
                <w:sz w:val="22"/>
              </w:rPr>
            </w:pPr>
            <w:r>
              <w:rPr>
                <w:spacing w:val="-5"/>
                <w:sz w:val="22"/>
              </w:rPr>
              <w:t>15</w:t>
            </w:r>
          </w:p>
        </w:tc>
        <w:tc>
          <w:tcPr>
            <w:tcW w:w="1480" w:type="dxa"/>
            <w:tcBorders>
              <w:top w:val="single" w:sz="4" w:space="0" w:color="000000"/>
            </w:tcBorders>
          </w:tcPr>
          <w:p>
            <w:pPr>
              <w:pStyle w:val="TableParagraph"/>
              <w:spacing w:line="246" w:lineRule="exact" w:before="1"/>
              <w:ind w:left="517"/>
              <w:rPr>
                <w:sz w:val="22"/>
              </w:rPr>
            </w:pPr>
            <w:r>
              <w:rPr>
                <w:spacing w:val="-4"/>
                <w:sz w:val="22"/>
              </w:rPr>
              <w:t>16,7</w:t>
            </w:r>
          </w:p>
        </w:tc>
      </w:tr>
      <w:tr>
        <w:trPr>
          <w:trHeight w:val="271" w:hRule="atLeast"/>
        </w:trPr>
        <w:tc>
          <w:tcPr>
            <w:tcW w:w="1560" w:type="dxa"/>
          </w:tcPr>
          <w:p>
            <w:pPr>
              <w:pStyle w:val="TableParagraph"/>
              <w:spacing w:line="247" w:lineRule="exact" w:before="4"/>
              <w:ind w:left="7"/>
              <w:rPr>
                <w:sz w:val="22"/>
              </w:rPr>
            </w:pPr>
            <w:r>
              <w:rPr>
                <w:spacing w:val="-2"/>
                <w:sz w:val="22"/>
              </w:rPr>
              <w:t>Cukup</w:t>
            </w:r>
          </w:p>
        </w:tc>
        <w:tc>
          <w:tcPr>
            <w:tcW w:w="1079" w:type="dxa"/>
          </w:tcPr>
          <w:p>
            <w:pPr>
              <w:pStyle w:val="TableParagraph"/>
              <w:spacing w:line="247" w:lineRule="exact" w:before="4"/>
              <w:ind w:left="350"/>
              <w:rPr>
                <w:sz w:val="22"/>
              </w:rPr>
            </w:pPr>
            <w:r>
              <w:rPr>
                <w:spacing w:val="-5"/>
                <w:sz w:val="22"/>
              </w:rPr>
              <w:t>25</w:t>
            </w:r>
          </w:p>
        </w:tc>
        <w:tc>
          <w:tcPr>
            <w:tcW w:w="1480" w:type="dxa"/>
          </w:tcPr>
          <w:p>
            <w:pPr>
              <w:pStyle w:val="TableParagraph"/>
              <w:spacing w:line="247" w:lineRule="exact" w:before="4"/>
              <w:ind w:left="517"/>
              <w:rPr>
                <w:sz w:val="22"/>
              </w:rPr>
            </w:pPr>
            <w:r>
              <w:rPr>
                <w:spacing w:val="-4"/>
                <w:sz w:val="22"/>
              </w:rPr>
              <w:t>27,8</w:t>
            </w:r>
          </w:p>
        </w:tc>
      </w:tr>
      <w:tr>
        <w:trPr>
          <w:trHeight w:val="279" w:hRule="atLeast"/>
        </w:trPr>
        <w:tc>
          <w:tcPr>
            <w:tcW w:w="1560" w:type="dxa"/>
            <w:tcBorders>
              <w:bottom w:val="single" w:sz="4" w:space="0" w:color="000000"/>
            </w:tcBorders>
          </w:tcPr>
          <w:p>
            <w:pPr>
              <w:pStyle w:val="TableParagraph"/>
              <w:spacing w:before="5"/>
              <w:ind w:left="7"/>
              <w:rPr>
                <w:sz w:val="22"/>
              </w:rPr>
            </w:pPr>
            <w:r>
              <w:rPr>
                <w:spacing w:val="-4"/>
                <w:sz w:val="22"/>
              </w:rPr>
              <w:t>Baik</w:t>
            </w:r>
          </w:p>
        </w:tc>
        <w:tc>
          <w:tcPr>
            <w:tcW w:w="1079" w:type="dxa"/>
            <w:tcBorders>
              <w:bottom w:val="single" w:sz="4" w:space="0" w:color="000000"/>
            </w:tcBorders>
          </w:tcPr>
          <w:p>
            <w:pPr>
              <w:pStyle w:val="TableParagraph"/>
              <w:spacing w:before="5"/>
              <w:ind w:left="350"/>
              <w:rPr>
                <w:sz w:val="22"/>
              </w:rPr>
            </w:pPr>
            <w:r>
              <w:rPr>
                <w:spacing w:val="-5"/>
                <w:sz w:val="22"/>
              </w:rPr>
              <w:t>50</w:t>
            </w:r>
          </w:p>
        </w:tc>
        <w:tc>
          <w:tcPr>
            <w:tcW w:w="1480" w:type="dxa"/>
            <w:tcBorders>
              <w:bottom w:val="single" w:sz="4" w:space="0" w:color="000000"/>
            </w:tcBorders>
          </w:tcPr>
          <w:p>
            <w:pPr>
              <w:pStyle w:val="TableParagraph"/>
              <w:spacing w:before="5"/>
              <w:ind w:left="517"/>
              <w:rPr>
                <w:sz w:val="22"/>
              </w:rPr>
            </w:pPr>
            <w:r>
              <w:rPr>
                <w:spacing w:val="-4"/>
                <w:sz w:val="22"/>
              </w:rPr>
              <w:t>55,6</w:t>
            </w:r>
          </w:p>
        </w:tc>
      </w:tr>
      <w:tr>
        <w:trPr>
          <w:trHeight w:val="278" w:hRule="atLeast"/>
        </w:trPr>
        <w:tc>
          <w:tcPr>
            <w:tcW w:w="1560" w:type="dxa"/>
            <w:tcBorders>
              <w:top w:val="single" w:sz="4" w:space="0" w:color="000000"/>
              <w:bottom w:val="single" w:sz="4" w:space="0" w:color="000000"/>
            </w:tcBorders>
          </w:tcPr>
          <w:p>
            <w:pPr>
              <w:pStyle w:val="TableParagraph"/>
              <w:spacing w:line="251" w:lineRule="exact"/>
              <w:ind w:left="7"/>
              <w:rPr>
                <w:sz w:val="22"/>
              </w:rPr>
            </w:pPr>
            <w:r>
              <w:rPr>
                <w:spacing w:val="-2"/>
                <w:sz w:val="22"/>
              </w:rPr>
              <w:t>Jumlah</w:t>
            </w:r>
          </w:p>
        </w:tc>
        <w:tc>
          <w:tcPr>
            <w:tcW w:w="1079" w:type="dxa"/>
            <w:tcBorders>
              <w:top w:val="single" w:sz="4" w:space="0" w:color="000000"/>
              <w:bottom w:val="single" w:sz="4" w:space="0" w:color="000000"/>
            </w:tcBorders>
          </w:tcPr>
          <w:p>
            <w:pPr>
              <w:pStyle w:val="TableParagraph"/>
              <w:spacing w:line="251" w:lineRule="exact"/>
              <w:ind w:left="350"/>
              <w:rPr>
                <w:sz w:val="22"/>
              </w:rPr>
            </w:pPr>
            <w:r>
              <w:rPr>
                <w:spacing w:val="-5"/>
                <w:sz w:val="22"/>
              </w:rPr>
              <w:t>90</w:t>
            </w:r>
          </w:p>
        </w:tc>
        <w:tc>
          <w:tcPr>
            <w:tcW w:w="1480" w:type="dxa"/>
            <w:tcBorders>
              <w:top w:val="single" w:sz="4" w:space="0" w:color="000000"/>
              <w:bottom w:val="single" w:sz="4" w:space="0" w:color="000000"/>
            </w:tcBorders>
          </w:tcPr>
          <w:p>
            <w:pPr>
              <w:pStyle w:val="TableParagraph"/>
              <w:spacing w:line="251" w:lineRule="exact"/>
              <w:ind w:left="517"/>
              <w:rPr>
                <w:sz w:val="22"/>
              </w:rPr>
            </w:pPr>
            <w:r>
              <w:rPr>
                <w:spacing w:val="-5"/>
                <w:sz w:val="22"/>
              </w:rPr>
              <w:t>100</w:t>
            </w:r>
          </w:p>
        </w:tc>
      </w:tr>
    </w:tbl>
    <w:p>
      <w:pPr>
        <w:pStyle w:val="BodyText"/>
        <w:spacing w:before="240"/>
        <w:ind w:right="1" w:firstLine="719"/>
      </w:pPr>
      <w:r>
        <w:rPr/>
        <w:t>Tabel 2 menunjukkan bahwa variabel pengetahuan</w:t>
      </w:r>
      <w:r>
        <w:rPr>
          <w:spacing w:val="-12"/>
        </w:rPr>
        <w:t> </w:t>
      </w:r>
      <w:r>
        <w:rPr/>
        <w:t>mayoritas</w:t>
      </w:r>
      <w:r>
        <w:rPr>
          <w:spacing w:val="-11"/>
        </w:rPr>
        <w:t> </w:t>
      </w:r>
      <w:r>
        <w:rPr/>
        <w:t>baik</w:t>
      </w:r>
      <w:r>
        <w:rPr>
          <w:spacing w:val="-10"/>
        </w:rPr>
        <w:t> </w:t>
      </w:r>
      <w:r>
        <w:rPr/>
        <w:t>sebanyak</w:t>
      </w:r>
      <w:r>
        <w:rPr>
          <w:spacing w:val="-12"/>
        </w:rPr>
        <w:t> </w:t>
      </w:r>
      <w:r>
        <w:rPr/>
        <w:t>50</w:t>
      </w:r>
      <w:r>
        <w:rPr>
          <w:spacing w:val="-10"/>
        </w:rPr>
        <w:t> </w:t>
      </w:r>
      <w:r>
        <w:rPr/>
        <w:t>orang (55,6%) dan minoritas berpengetahuan kurang sebanyak 15 orang (16,7%).</w:t>
      </w:r>
    </w:p>
    <w:p>
      <w:pPr>
        <w:pStyle w:val="Heading2"/>
        <w:ind w:right="1"/>
      </w:pPr>
      <w:r>
        <w:rPr/>
        <w:t>Tabel 3. Distribusi Frekuensi Sikap Responden di Kelurahan Wek II Kota Padangsidimpuan Tahun 2026</w:t>
      </w:r>
    </w:p>
    <w:tbl>
      <w:tblPr>
        <w:tblW w:w="0" w:type="auto"/>
        <w:jc w:val="left"/>
        <w:tblInd w:w="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16"/>
        <w:gridCol w:w="1340"/>
        <w:gridCol w:w="1365"/>
      </w:tblGrid>
      <w:tr>
        <w:trPr>
          <w:trHeight w:val="277" w:hRule="atLeast"/>
        </w:trPr>
        <w:tc>
          <w:tcPr>
            <w:tcW w:w="1416" w:type="dxa"/>
            <w:tcBorders>
              <w:top w:val="single" w:sz="4" w:space="0" w:color="000000"/>
              <w:bottom w:val="single" w:sz="4" w:space="0" w:color="000000"/>
            </w:tcBorders>
          </w:tcPr>
          <w:p>
            <w:pPr>
              <w:pStyle w:val="TableParagraph"/>
              <w:spacing w:before="1"/>
              <w:ind w:left="7"/>
              <w:rPr>
                <w:b/>
                <w:sz w:val="22"/>
              </w:rPr>
            </w:pPr>
            <w:r>
              <w:rPr>
                <w:b/>
                <w:spacing w:val="-2"/>
                <w:sz w:val="22"/>
              </w:rPr>
              <w:t>Sikap</w:t>
            </w:r>
          </w:p>
        </w:tc>
        <w:tc>
          <w:tcPr>
            <w:tcW w:w="1340" w:type="dxa"/>
            <w:tcBorders>
              <w:top w:val="single" w:sz="4" w:space="0" w:color="000000"/>
              <w:bottom w:val="single" w:sz="4" w:space="0" w:color="000000"/>
            </w:tcBorders>
          </w:tcPr>
          <w:p>
            <w:pPr>
              <w:pStyle w:val="TableParagraph"/>
              <w:spacing w:before="1"/>
              <w:ind w:right="309"/>
              <w:jc w:val="right"/>
              <w:rPr>
                <w:b/>
                <w:sz w:val="22"/>
              </w:rPr>
            </w:pPr>
            <w:r>
              <w:rPr>
                <w:b/>
                <w:spacing w:val="-10"/>
                <w:sz w:val="22"/>
              </w:rPr>
              <w:t>N</w:t>
            </w:r>
          </w:p>
        </w:tc>
        <w:tc>
          <w:tcPr>
            <w:tcW w:w="1365" w:type="dxa"/>
            <w:tcBorders>
              <w:top w:val="single" w:sz="4" w:space="0" w:color="000000"/>
              <w:bottom w:val="single" w:sz="4" w:space="0" w:color="000000"/>
            </w:tcBorders>
          </w:tcPr>
          <w:p>
            <w:pPr>
              <w:pStyle w:val="TableParagraph"/>
              <w:spacing w:before="1"/>
              <w:ind w:right="696"/>
              <w:jc w:val="right"/>
              <w:rPr>
                <w:b/>
                <w:sz w:val="22"/>
              </w:rPr>
            </w:pPr>
            <w:r>
              <w:rPr>
                <w:b/>
                <w:spacing w:val="-10"/>
                <w:sz w:val="22"/>
              </w:rPr>
              <w:t>%</w:t>
            </w:r>
          </w:p>
        </w:tc>
      </w:tr>
      <w:tr>
        <w:trPr>
          <w:trHeight w:val="268" w:hRule="atLeast"/>
        </w:trPr>
        <w:tc>
          <w:tcPr>
            <w:tcW w:w="1416" w:type="dxa"/>
            <w:tcBorders>
              <w:top w:val="single" w:sz="4" w:space="0" w:color="000000"/>
            </w:tcBorders>
          </w:tcPr>
          <w:p>
            <w:pPr>
              <w:pStyle w:val="TableParagraph"/>
              <w:spacing w:line="248" w:lineRule="exact" w:before="1"/>
              <w:ind w:left="7"/>
              <w:rPr>
                <w:sz w:val="22"/>
              </w:rPr>
            </w:pPr>
            <w:r>
              <w:rPr>
                <w:spacing w:val="-2"/>
                <w:sz w:val="22"/>
              </w:rPr>
              <w:t>Negatif</w:t>
            </w:r>
          </w:p>
        </w:tc>
        <w:tc>
          <w:tcPr>
            <w:tcW w:w="1340" w:type="dxa"/>
            <w:tcBorders>
              <w:top w:val="single" w:sz="4" w:space="0" w:color="000000"/>
            </w:tcBorders>
          </w:tcPr>
          <w:p>
            <w:pPr>
              <w:pStyle w:val="TableParagraph"/>
              <w:spacing w:line="248" w:lineRule="exact" w:before="1"/>
              <w:ind w:right="349"/>
              <w:jc w:val="right"/>
              <w:rPr>
                <w:sz w:val="22"/>
              </w:rPr>
            </w:pPr>
            <w:r>
              <w:rPr>
                <w:spacing w:val="-5"/>
                <w:sz w:val="22"/>
              </w:rPr>
              <w:t>34</w:t>
            </w:r>
          </w:p>
        </w:tc>
        <w:tc>
          <w:tcPr>
            <w:tcW w:w="1365" w:type="dxa"/>
            <w:tcBorders>
              <w:top w:val="single" w:sz="4" w:space="0" w:color="000000"/>
            </w:tcBorders>
          </w:tcPr>
          <w:p>
            <w:pPr>
              <w:pStyle w:val="TableParagraph"/>
              <w:spacing w:line="248" w:lineRule="exact" w:before="1"/>
              <w:ind w:right="686"/>
              <w:jc w:val="right"/>
              <w:rPr>
                <w:sz w:val="22"/>
              </w:rPr>
            </w:pPr>
            <w:r>
              <w:rPr>
                <w:spacing w:val="-4"/>
                <w:sz w:val="22"/>
              </w:rPr>
              <w:t>37,8</w:t>
            </w:r>
          </w:p>
        </w:tc>
      </w:tr>
      <w:tr>
        <w:trPr>
          <w:trHeight w:val="280" w:hRule="atLeast"/>
        </w:trPr>
        <w:tc>
          <w:tcPr>
            <w:tcW w:w="1416" w:type="dxa"/>
            <w:tcBorders>
              <w:bottom w:val="single" w:sz="4" w:space="0" w:color="000000"/>
            </w:tcBorders>
          </w:tcPr>
          <w:p>
            <w:pPr>
              <w:pStyle w:val="TableParagraph"/>
              <w:spacing w:before="6"/>
              <w:ind w:left="7"/>
              <w:rPr>
                <w:sz w:val="22"/>
              </w:rPr>
            </w:pPr>
            <w:r>
              <w:rPr>
                <w:spacing w:val="-2"/>
                <w:sz w:val="22"/>
              </w:rPr>
              <w:t>Positif</w:t>
            </w:r>
          </w:p>
        </w:tc>
        <w:tc>
          <w:tcPr>
            <w:tcW w:w="1340" w:type="dxa"/>
            <w:tcBorders>
              <w:bottom w:val="single" w:sz="4" w:space="0" w:color="000000"/>
            </w:tcBorders>
          </w:tcPr>
          <w:p>
            <w:pPr>
              <w:pStyle w:val="TableParagraph"/>
              <w:spacing w:before="6"/>
              <w:ind w:right="349"/>
              <w:jc w:val="right"/>
              <w:rPr>
                <w:sz w:val="22"/>
              </w:rPr>
            </w:pPr>
            <w:r>
              <w:rPr>
                <w:spacing w:val="-5"/>
                <w:sz w:val="22"/>
              </w:rPr>
              <w:t>56</w:t>
            </w:r>
          </w:p>
        </w:tc>
        <w:tc>
          <w:tcPr>
            <w:tcW w:w="1365" w:type="dxa"/>
            <w:tcBorders>
              <w:bottom w:val="single" w:sz="4" w:space="0" w:color="000000"/>
            </w:tcBorders>
          </w:tcPr>
          <w:p>
            <w:pPr>
              <w:pStyle w:val="TableParagraph"/>
              <w:spacing w:before="6"/>
              <w:ind w:right="686"/>
              <w:jc w:val="right"/>
              <w:rPr>
                <w:sz w:val="22"/>
              </w:rPr>
            </w:pPr>
            <w:r>
              <w:rPr>
                <w:spacing w:val="-4"/>
                <w:sz w:val="22"/>
              </w:rPr>
              <w:t>62,2</w:t>
            </w:r>
          </w:p>
        </w:tc>
      </w:tr>
      <w:tr>
        <w:trPr>
          <w:trHeight w:val="270" w:hRule="atLeast"/>
        </w:trPr>
        <w:tc>
          <w:tcPr>
            <w:tcW w:w="1416" w:type="dxa"/>
            <w:tcBorders>
              <w:top w:val="single" w:sz="4" w:space="0" w:color="000000"/>
              <w:bottom w:val="single" w:sz="4" w:space="0" w:color="000000"/>
            </w:tcBorders>
          </w:tcPr>
          <w:p>
            <w:pPr>
              <w:pStyle w:val="TableParagraph"/>
              <w:spacing w:line="249" w:lineRule="exact"/>
              <w:ind w:left="7"/>
              <w:rPr>
                <w:sz w:val="22"/>
              </w:rPr>
            </w:pPr>
            <w:r>
              <w:rPr>
                <w:spacing w:val="-2"/>
                <w:sz w:val="22"/>
              </w:rPr>
              <w:t>Jumlah</w:t>
            </w:r>
          </w:p>
        </w:tc>
        <w:tc>
          <w:tcPr>
            <w:tcW w:w="1340" w:type="dxa"/>
            <w:tcBorders>
              <w:top w:val="single" w:sz="4" w:space="0" w:color="000000"/>
              <w:bottom w:val="single" w:sz="4" w:space="0" w:color="000000"/>
            </w:tcBorders>
          </w:tcPr>
          <w:p>
            <w:pPr>
              <w:pStyle w:val="TableParagraph"/>
              <w:spacing w:line="249" w:lineRule="exact"/>
              <w:ind w:right="349"/>
              <w:jc w:val="right"/>
              <w:rPr>
                <w:sz w:val="22"/>
              </w:rPr>
            </w:pPr>
            <w:r>
              <w:rPr>
                <w:spacing w:val="-5"/>
                <w:sz w:val="22"/>
              </w:rPr>
              <w:t>90</w:t>
            </w:r>
          </w:p>
        </w:tc>
        <w:tc>
          <w:tcPr>
            <w:tcW w:w="1365" w:type="dxa"/>
            <w:tcBorders>
              <w:top w:val="single" w:sz="4" w:space="0" w:color="000000"/>
              <w:bottom w:val="single" w:sz="4" w:space="0" w:color="000000"/>
            </w:tcBorders>
          </w:tcPr>
          <w:p>
            <w:pPr>
              <w:pStyle w:val="TableParagraph"/>
              <w:spacing w:line="249" w:lineRule="exact"/>
              <w:ind w:right="729"/>
              <w:jc w:val="right"/>
              <w:rPr>
                <w:sz w:val="22"/>
              </w:rPr>
            </w:pPr>
            <w:r>
              <w:rPr>
                <w:spacing w:val="-5"/>
                <w:sz w:val="22"/>
              </w:rPr>
              <w:t>100</w:t>
            </w:r>
          </w:p>
        </w:tc>
      </w:tr>
    </w:tbl>
    <w:p>
      <w:pPr>
        <w:pStyle w:val="BodyText"/>
        <w:spacing w:before="242"/>
        <w:ind w:right="1" w:firstLine="719"/>
      </w:pPr>
      <w:r>
        <w:rPr/>
        <w:t>Tabel</w:t>
      </w:r>
      <w:r>
        <w:rPr>
          <w:spacing w:val="-14"/>
        </w:rPr>
        <w:t> </w:t>
      </w:r>
      <w:r>
        <w:rPr/>
        <w:t>3</w:t>
      </w:r>
      <w:r>
        <w:rPr>
          <w:spacing w:val="-14"/>
        </w:rPr>
        <w:t> </w:t>
      </w:r>
      <w:r>
        <w:rPr/>
        <w:t>menunjukkan</w:t>
      </w:r>
      <w:r>
        <w:rPr>
          <w:spacing w:val="-14"/>
        </w:rPr>
        <w:t> </w:t>
      </w:r>
      <w:r>
        <w:rPr/>
        <w:t>bahwa</w:t>
      </w:r>
      <w:r>
        <w:rPr>
          <w:spacing w:val="-13"/>
        </w:rPr>
        <w:t> </w:t>
      </w:r>
      <w:r>
        <w:rPr/>
        <w:t>mayoritas responden memiliki sikap positif sebanyak 56 orang (62,2%) dan minoritas memiliki sikap negatif sebanyak 34 orang (37,8%).</w:t>
      </w:r>
    </w:p>
    <w:p>
      <w:pPr>
        <w:pStyle w:val="Heading2"/>
        <w:tabs>
          <w:tab w:pos="2300" w:val="left" w:leader="none"/>
          <w:tab w:pos="3081" w:val="left" w:leader="none"/>
        </w:tabs>
        <w:spacing w:line="244" w:lineRule="auto" w:before="240"/>
        <w:ind w:right="49"/>
        <w:jc w:val="left"/>
      </w:pPr>
      <w:r>
        <w:rPr/>
        <mc:AlternateContent>
          <mc:Choice Requires="wps">
            <w:drawing>
              <wp:anchor distT="0" distB="0" distL="0" distR="0" allowOverlap="1" layoutInCell="1" locked="0" behindDoc="0" simplePos="0" relativeHeight="15729664">
                <wp:simplePos x="0" y="0"/>
                <wp:positionH relativeFrom="page">
                  <wp:posOffset>914704</wp:posOffset>
                </wp:positionH>
                <wp:positionV relativeFrom="paragraph">
                  <wp:posOffset>635321</wp:posOffset>
                </wp:positionV>
                <wp:extent cx="2611120" cy="635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2611120" cy="6350"/>
                        </a:xfrm>
                        <a:custGeom>
                          <a:avLst/>
                          <a:gdLst/>
                          <a:ahLst/>
                          <a:cxnLst/>
                          <a:rect l="l" t="t" r="r" b="b"/>
                          <a:pathLst>
                            <a:path w="2611120" h="6350">
                              <a:moveTo>
                                <a:pt x="1890014" y="0"/>
                              </a:moveTo>
                              <a:lnTo>
                                <a:pt x="1356309" y="0"/>
                              </a:lnTo>
                              <a:lnTo>
                                <a:pt x="1350264" y="0"/>
                              </a:lnTo>
                              <a:lnTo>
                                <a:pt x="0" y="0"/>
                              </a:lnTo>
                              <a:lnTo>
                                <a:pt x="0" y="6083"/>
                              </a:lnTo>
                              <a:lnTo>
                                <a:pt x="1350213" y="6083"/>
                              </a:lnTo>
                              <a:lnTo>
                                <a:pt x="1356309" y="6083"/>
                              </a:lnTo>
                              <a:lnTo>
                                <a:pt x="1890014" y="6083"/>
                              </a:lnTo>
                              <a:lnTo>
                                <a:pt x="1890014" y="0"/>
                              </a:lnTo>
                              <a:close/>
                            </a:path>
                            <a:path w="2611120" h="6350">
                              <a:moveTo>
                                <a:pt x="1896173" y="0"/>
                              </a:moveTo>
                              <a:lnTo>
                                <a:pt x="1890090" y="0"/>
                              </a:lnTo>
                              <a:lnTo>
                                <a:pt x="1890090" y="6083"/>
                              </a:lnTo>
                              <a:lnTo>
                                <a:pt x="1896173" y="6083"/>
                              </a:lnTo>
                              <a:lnTo>
                                <a:pt x="1896173" y="0"/>
                              </a:lnTo>
                              <a:close/>
                            </a:path>
                            <a:path w="2611120" h="6350">
                              <a:moveTo>
                                <a:pt x="2610942" y="0"/>
                              </a:moveTo>
                              <a:lnTo>
                                <a:pt x="1896186" y="0"/>
                              </a:lnTo>
                              <a:lnTo>
                                <a:pt x="1896186" y="6083"/>
                              </a:lnTo>
                              <a:lnTo>
                                <a:pt x="2610942" y="6083"/>
                              </a:lnTo>
                              <a:lnTo>
                                <a:pt x="261094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024002pt;margin-top:50.025299pt;width:205.6pt;height:.5pt;mso-position-horizontal-relative:page;mso-position-vertical-relative:paragraph;z-index:15729664" id="docshape4" coordorigin="1440,1001" coordsize="4112,10" path="m4417,1001l3576,1001,3567,1001,3567,1001,1440,1001,1440,1010,3567,1010,3567,1010,3576,1010,4417,1010,4417,1001xm4427,1001l4417,1001,4417,1010,4427,1010,4427,1001xm5552,1001l4427,1001,4427,1010,5552,1010,5552,1001xe" filled="true" fillcolor="#000000" stroked="false">
                <v:path arrowok="t"/>
                <v:fill type="solid"/>
                <w10:wrap type="none"/>
              </v:shape>
            </w:pict>
          </mc:Fallback>
        </mc:AlternateContent>
      </w:r>
      <w:r>
        <w:rPr/>
        <w:t>Tabel</w:t>
      </w:r>
      <w:r>
        <w:rPr>
          <w:spacing w:val="36"/>
        </w:rPr>
        <w:t> </w:t>
      </w:r>
      <w:r>
        <w:rPr/>
        <w:t>4.</w:t>
      </w:r>
      <w:r>
        <w:rPr>
          <w:spacing w:val="35"/>
        </w:rPr>
        <w:t> </w:t>
      </w:r>
      <w:r>
        <w:rPr/>
        <w:t>Distribusi</w:t>
      </w:r>
      <w:r>
        <w:rPr>
          <w:spacing w:val="36"/>
        </w:rPr>
        <w:t> </w:t>
      </w:r>
      <w:r>
        <w:rPr/>
        <w:t>Frekuensi</w:t>
      </w:r>
      <w:r>
        <w:rPr>
          <w:spacing w:val="34"/>
        </w:rPr>
        <w:t> </w:t>
      </w:r>
      <w:r>
        <w:rPr/>
        <w:t>Pengelolaan Sampah</w:t>
      </w:r>
      <w:r>
        <w:rPr>
          <w:spacing w:val="37"/>
        </w:rPr>
        <w:t> </w:t>
      </w:r>
      <w:r>
        <w:rPr/>
        <w:t>Responden</w:t>
      </w:r>
      <w:r>
        <w:rPr>
          <w:spacing w:val="36"/>
        </w:rPr>
        <w:t> </w:t>
      </w:r>
      <w:r>
        <w:rPr/>
        <w:t>di</w:t>
      </w:r>
      <w:r>
        <w:rPr>
          <w:spacing w:val="35"/>
        </w:rPr>
        <w:t> </w:t>
      </w:r>
      <w:r>
        <w:rPr/>
        <w:t>Kelurahan</w:t>
      </w:r>
      <w:r>
        <w:rPr>
          <w:spacing w:val="34"/>
        </w:rPr>
        <w:t> </w:t>
      </w:r>
      <w:r>
        <w:rPr/>
        <w:t>Wek</w:t>
      </w:r>
      <w:r>
        <w:rPr>
          <w:spacing w:val="37"/>
        </w:rPr>
        <w:t> </w:t>
      </w:r>
      <w:r>
        <w:rPr/>
        <w:t>II Kota Padangsidimpuan Tahun 2026 Pengelolaan Sampah</w:t>
        <w:tab/>
      </w:r>
      <w:r>
        <w:rPr>
          <w:spacing w:val="-10"/>
        </w:rPr>
        <w:t>N</w:t>
      </w:r>
      <w:r>
        <w:rPr/>
        <w:tab/>
      </w:r>
      <w:r>
        <w:rPr>
          <w:spacing w:val="-10"/>
        </w:rPr>
        <w:t>%</w:t>
      </w:r>
    </w:p>
    <w:p>
      <w:pPr>
        <w:spacing w:line="20" w:lineRule="exact"/>
        <w:ind w:left="23" w:right="-15" w:firstLine="0"/>
        <w:rPr>
          <w:sz w:val="2"/>
        </w:rPr>
      </w:pPr>
      <w:r>
        <w:rPr>
          <w:sz w:val="2"/>
        </w:rPr>
        <mc:AlternateContent>
          <mc:Choice Requires="wps">
            <w:drawing>
              <wp:inline distT="0" distB="0" distL="0" distR="0">
                <wp:extent cx="2611120" cy="6350"/>
                <wp:effectExtent l="0" t="0" r="0" b="0"/>
                <wp:docPr id="5" name="Group 5"/>
                <wp:cNvGraphicFramePr>
                  <a:graphicFrameLocks/>
                </wp:cNvGraphicFramePr>
                <a:graphic>
                  <a:graphicData uri="http://schemas.microsoft.com/office/word/2010/wordprocessingGroup">
                    <wpg:wgp>
                      <wpg:cNvPr id="5" name="Group 5"/>
                      <wpg:cNvGrpSpPr/>
                      <wpg:grpSpPr>
                        <a:xfrm>
                          <a:off x="0" y="0"/>
                          <a:ext cx="2611120" cy="6350"/>
                          <a:chExt cx="2611120" cy="6350"/>
                        </a:xfrm>
                      </wpg:grpSpPr>
                      <wps:wsp>
                        <wps:cNvPr id="6" name="Graphic 6"/>
                        <wps:cNvSpPr/>
                        <wps:spPr>
                          <a:xfrm>
                            <a:off x="0" y="0"/>
                            <a:ext cx="2611120" cy="6350"/>
                          </a:xfrm>
                          <a:custGeom>
                            <a:avLst/>
                            <a:gdLst/>
                            <a:ahLst/>
                            <a:cxnLst/>
                            <a:rect l="l" t="t" r="r" b="b"/>
                            <a:pathLst>
                              <a:path w="2611120" h="6350">
                                <a:moveTo>
                                  <a:pt x="1890014" y="0"/>
                                </a:moveTo>
                                <a:lnTo>
                                  <a:pt x="1356309" y="0"/>
                                </a:lnTo>
                                <a:lnTo>
                                  <a:pt x="1350264" y="0"/>
                                </a:lnTo>
                                <a:lnTo>
                                  <a:pt x="0" y="0"/>
                                </a:lnTo>
                                <a:lnTo>
                                  <a:pt x="0" y="6096"/>
                                </a:lnTo>
                                <a:lnTo>
                                  <a:pt x="1350213" y="6096"/>
                                </a:lnTo>
                                <a:lnTo>
                                  <a:pt x="1356309" y="6096"/>
                                </a:lnTo>
                                <a:lnTo>
                                  <a:pt x="1890014" y="6096"/>
                                </a:lnTo>
                                <a:lnTo>
                                  <a:pt x="1890014" y="0"/>
                                </a:lnTo>
                                <a:close/>
                              </a:path>
                              <a:path w="2611120" h="6350">
                                <a:moveTo>
                                  <a:pt x="1896173" y="0"/>
                                </a:moveTo>
                                <a:lnTo>
                                  <a:pt x="1890090" y="0"/>
                                </a:lnTo>
                                <a:lnTo>
                                  <a:pt x="1890090" y="6096"/>
                                </a:lnTo>
                                <a:lnTo>
                                  <a:pt x="1896173" y="6096"/>
                                </a:lnTo>
                                <a:lnTo>
                                  <a:pt x="1896173" y="0"/>
                                </a:lnTo>
                                <a:close/>
                              </a:path>
                              <a:path w="2611120" h="6350">
                                <a:moveTo>
                                  <a:pt x="2610942" y="0"/>
                                </a:moveTo>
                                <a:lnTo>
                                  <a:pt x="1896186" y="0"/>
                                </a:lnTo>
                                <a:lnTo>
                                  <a:pt x="1896186" y="6096"/>
                                </a:lnTo>
                                <a:lnTo>
                                  <a:pt x="2610942" y="6096"/>
                                </a:lnTo>
                                <a:lnTo>
                                  <a:pt x="261094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05.6pt;height:.5pt;mso-position-horizontal-relative:char;mso-position-vertical-relative:line" id="docshapegroup5" coordorigin="0,0" coordsize="4112,10">
                <v:shape style="position:absolute;left:0;top:0;width:4112;height:10" id="docshape6" coordorigin="0,0" coordsize="4112,10" path="m2976,0l2136,0,2126,0,2126,0,0,0,0,10,2126,10,2126,10,2136,10,2976,10,2976,0xm2986,0l2977,0,2977,10,2986,10,2986,0xm4112,0l2986,0,2986,10,4112,10,4112,0xe" filled="true" fillcolor="#000000" stroked="false">
                  <v:path arrowok="t"/>
                  <v:fill type="solid"/>
                </v:shape>
              </v:group>
            </w:pict>
          </mc:Fallback>
        </mc:AlternateContent>
      </w:r>
      <w:r>
        <w:rPr>
          <w:sz w:val="2"/>
        </w:rPr>
      </w:r>
    </w:p>
    <w:p>
      <w:pPr>
        <w:pStyle w:val="BodyText"/>
        <w:tabs>
          <w:tab w:pos="2209" w:val="left" w:leader="none"/>
          <w:tab w:pos="3081" w:val="left" w:leader="none"/>
        </w:tabs>
        <w:spacing w:before="7"/>
        <w:jc w:val="left"/>
      </w:pPr>
      <w:r>
        <w:rPr>
          <w:spacing w:val="-6"/>
        </w:rPr>
        <w:t>Kurang</w:t>
      </w:r>
      <w:r>
        <w:rPr>
          <w:spacing w:val="-4"/>
        </w:rPr>
        <w:t> baik</w:t>
      </w:r>
      <w:r>
        <w:rPr/>
        <w:tab/>
      </w:r>
      <w:r>
        <w:rPr>
          <w:spacing w:val="-5"/>
        </w:rPr>
        <w:t>47</w:t>
      </w:r>
      <w:r>
        <w:rPr/>
        <w:tab/>
      </w:r>
      <w:r>
        <w:rPr>
          <w:spacing w:val="-4"/>
        </w:rPr>
        <w:t>52,2</w:t>
      </w:r>
    </w:p>
    <w:p>
      <w:pPr>
        <w:pStyle w:val="BodyText"/>
        <w:spacing w:before="182"/>
        <w:ind w:left="24" w:right="160" w:firstLine="566"/>
      </w:pPr>
      <w:r>
        <w:rPr/>
        <w:br w:type="column"/>
      </w:r>
      <w:r>
        <w:rPr/>
        <w:t>Tabel 4 menunjukkan bahwa, mayoritas responden memiliki pengelolaan kurang baik sebanyak 47 orang (52,2%) dan minoritas berada pada kategori baik sebanyak 43 orang </w:t>
      </w:r>
      <w:r>
        <w:rPr>
          <w:spacing w:val="-2"/>
        </w:rPr>
        <w:t>(47,8%).</w:t>
      </w:r>
    </w:p>
    <w:p>
      <w:pPr>
        <w:pStyle w:val="Heading1"/>
        <w:spacing w:before="241"/>
        <w:ind w:left="24" w:firstLine="0"/>
        <w:jc w:val="both"/>
      </w:pPr>
      <w:r>
        <w:rPr/>
        <w:t>Analisa </w:t>
      </w:r>
      <w:r>
        <w:rPr>
          <w:spacing w:val="-2"/>
        </w:rPr>
        <w:t>Bivariat</w:t>
      </w:r>
    </w:p>
    <w:p>
      <w:pPr>
        <w:pStyle w:val="Heading2"/>
        <w:ind w:left="24" w:right="210"/>
      </w:pPr>
      <w:r>
        <w:rPr/>
        <w:t>Tabel 5. Hubungan Pengetahuan Dengan Pengelolaan Sampah Rumah Tangga Di Kelurahan Wek II Kota Padangsidimpuan Tahun 2026</w:t>
      </w:r>
    </w:p>
    <w:p>
      <w:pPr>
        <w:pStyle w:val="BodyText"/>
        <w:spacing w:before="6"/>
        <w:ind w:left="0"/>
        <w:jc w:val="left"/>
        <w:rPr>
          <w:b/>
          <w:sz w:val="9"/>
        </w:rPr>
      </w:pPr>
      <w:r>
        <w:rPr>
          <w:b/>
          <w:sz w:val="9"/>
        </w:rPr>
        <w:drawing>
          <wp:anchor distT="0" distB="0" distL="0" distR="0" allowOverlap="1" layoutInCell="1" locked="0" behindDoc="1" simplePos="0" relativeHeight="487588352">
            <wp:simplePos x="0" y="0"/>
            <wp:positionH relativeFrom="page">
              <wp:posOffset>4004945</wp:posOffset>
            </wp:positionH>
            <wp:positionV relativeFrom="paragraph">
              <wp:posOffset>85059</wp:posOffset>
            </wp:positionV>
            <wp:extent cx="2704440" cy="1224819"/>
            <wp:effectExtent l="0" t="0" r="0" b="0"/>
            <wp:wrapTopAndBottom/>
            <wp:docPr id="7" name="Image 7"/>
            <wp:cNvGraphicFramePr>
              <a:graphicFrameLocks/>
            </wp:cNvGraphicFramePr>
            <a:graphic>
              <a:graphicData uri="http://schemas.openxmlformats.org/drawingml/2006/picture">
                <pic:pic>
                  <pic:nvPicPr>
                    <pic:cNvPr id="7" name="Image 7"/>
                    <pic:cNvPicPr/>
                  </pic:nvPicPr>
                  <pic:blipFill>
                    <a:blip r:embed="rId7" cstate="print"/>
                    <a:stretch>
                      <a:fillRect/>
                    </a:stretch>
                  </pic:blipFill>
                  <pic:spPr>
                    <a:xfrm>
                      <a:off x="0" y="0"/>
                      <a:ext cx="2704440" cy="1224819"/>
                    </a:xfrm>
                    <a:prstGeom prst="rect">
                      <a:avLst/>
                    </a:prstGeom>
                  </pic:spPr>
                </pic:pic>
              </a:graphicData>
            </a:graphic>
          </wp:anchor>
        </w:drawing>
      </w:r>
    </w:p>
    <w:p>
      <w:pPr>
        <w:pStyle w:val="BodyText"/>
        <w:spacing w:before="55"/>
        <w:ind w:left="0"/>
        <w:jc w:val="left"/>
        <w:rPr>
          <w:b/>
        </w:rPr>
      </w:pPr>
    </w:p>
    <w:p>
      <w:pPr>
        <w:pStyle w:val="BodyText"/>
        <w:ind w:left="24" w:right="160" w:firstLine="566"/>
      </w:pPr>
      <w:r>
        <w:rPr/>
        <w:t>Tabel 5 diketahui bahwa dari 15 responden dengan pengetahuan kurang dalam pengelolaan</w:t>
      </w:r>
      <w:r>
        <w:rPr>
          <w:spacing w:val="-3"/>
        </w:rPr>
        <w:t> </w:t>
      </w:r>
      <w:r>
        <w:rPr/>
        <w:t>sampah</w:t>
      </w:r>
      <w:r>
        <w:rPr>
          <w:spacing w:val="-3"/>
        </w:rPr>
        <w:t> </w:t>
      </w:r>
      <w:r>
        <w:rPr/>
        <w:t>rumah</w:t>
      </w:r>
      <w:r>
        <w:rPr>
          <w:spacing w:val="-5"/>
        </w:rPr>
        <w:t> </w:t>
      </w:r>
      <w:r>
        <w:rPr/>
        <w:t>tangga,</w:t>
      </w:r>
      <w:r>
        <w:rPr>
          <w:spacing w:val="-5"/>
        </w:rPr>
        <w:t> </w:t>
      </w:r>
      <w:r>
        <w:rPr/>
        <w:t>terdapat</w:t>
      </w:r>
      <w:r>
        <w:rPr>
          <w:spacing w:val="-2"/>
        </w:rPr>
        <w:t> </w:t>
      </w:r>
      <w:r>
        <w:rPr/>
        <w:t>14 responden (93,3%) yang pengelolaan sampahnya kurang baik dan 1 responden (6,7%)</w:t>
      </w:r>
      <w:r>
        <w:rPr>
          <w:spacing w:val="-9"/>
        </w:rPr>
        <w:t> </w:t>
      </w:r>
      <w:r>
        <w:rPr/>
        <w:t>yang</w:t>
      </w:r>
      <w:r>
        <w:rPr>
          <w:spacing w:val="-9"/>
        </w:rPr>
        <w:t> </w:t>
      </w:r>
      <w:r>
        <w:rPr/>
        <w:t>pengelolaan</w:t>
      </w:r>
      <w:r>
        <w:rPr>
          <w:spacing w:val="-12"/>
        </w:rPr>
        <w:t> </w:t>
      </w:r>
      <w:r>
        <w:rPr/>
        <w:t>sampahnya</w:t>
      </w:r>
      <w:r>
        <w:rPr>
          <w:spacing w:val="-9"/>
        </w:rPr>
        <w:t> </w:t>
      </w:r>
      <w:r>
        <w:rPr/>
        <w:t>baik.</w:t>
      </w:r>
      <w:r>
        <w:rPr>
          <w:spacing w:val="-11"/>
        </w:rPr>
        <w:t> </w:t>
      </w:r>
      <w:r>
        <w:rPr>
          <w:spacing w:val="-4"/>
        </w:rPr>
        <w:t>Dari</w:t>
      </w:r>
    </w:p>
    <w:p>
      <w:pPr>
        <w:pStyle w:val="BodyText"/>
        <w:spacing w:before="1"/>
        <w:ind w:left="24" w:right="161"/>
      </w:pPr>
      <w:r>
        <w:rPr/>
        <w:t>25 responden dengan pengetahuan cukup, terdapat 14 responden (56,0%) yang pengelolaan sampahnya kurang baik dan 11 responden (44,0%) yang pengelolaan sampahnya baik. Sementara itu, dari 50 responden</w:t>
      </w:r>
      <w:r>
        <w:rPr>
          <w:spacing w:val="32"/>
        </w:rPr>
        <w:t> </w:t>
      </w:r>
      <w:r>
        <w:rPr/>
        <w:t>dengan</w:t>
      </w:r>
      <w:r>
        <w:rPr>
          <w:spacing w:val="31"/>
        </w:rPr>
        <w:t> </w:t>
      </w:r>
      <w:r>
        <w:rPr/>
        <w:t>pengetahuan</w:t>
      </w:r>
      <w:r>
        <w:rPr>
          <w:spacing w:val="32"/>
        </w:rPr>
        <w:t> </w:t>
      </w:r>
      <w:r>
        <w:rPr/>
        <w:t>baik,</w:t>
      </w:r>
      <w:r>
        <w:rPr>
          <w:spacing w:val="32"/>
        </w:rPr>
        <w:t> </w:t>
      </w:r>
      <w:r>
        <w:rPr>
          <w:spacing w:val="-2"/>
        </w:rPr>
        <w:t>terdapat</w:t>
      </w:r>
    </w:p>
    <w:p>
      <w:pPr>
        <w:pStyle w:val="BodyText"/>
        <w:spacing w:line="242" w:lineRule="auto"/>
        <w:ind w:left="24" w:right="160"/>
      </w:pPr>
      <w:r>
        <w:rPr/>
        <w:t>19 responden (38,0%) yang pengelolaan sampahnya kurang baik dan 31 responden (62,0%) yang pengelolaan sampahnya baik.</w:t>
      </w:r>
    </w:p>
    <w:p>
      <w:pPr>
        <w:pStyle w:val="BodyText"/>
        <w:spacing w:before="234"/>
        <w:ind w:left="24" w:right="160" w:firstLine="566"/>
      </w:pPr>
      <w:r>
        <w:rPr/>
        <w:t>Hasil uji chi-square diperoleh p value 0,001 &lt; ɑ = 0,05 hal ini menunjukkan bahwa Ho ditolak dan Ha diterima yang artinya ada hubungan antara pengetahuan </w:t>
      </w:r>
      <w:r>
        <w:rPr/>
        <w:t>dengan pengelolaan sampah rumah tangga di </w:t>
      </w:r>
      <w:r>
        <w:rPr>
          <w:spacing w:val="-2"/>
        </w:rPr>
        <w:t>Kelurahan</w:t>
      </w:r>
      <w:r>
        <w:rPr>
          <w:spacing w:val="-9"/>
        </w:rPr>
        <w:t> </w:t>
      </w:r>
      <w:r>
        <w:rPr>
          <w:spacing w:val="-2"/>
        </w:rPr>
        <w:t>Wek</w:t>
      </w:r>
      <w:r>
        <w:rPr>
          <w:spacing w:val="-6"/>
        </w:rPr>
        <w:t> </w:t>
      </w:r>
      <w:r>
        <w:rPr>
          <w:spacing w:val="-2"/>
        </w:rPr>
        <w:t>II</w:t>
      </w:r>
      <w:r>
        <w:rPr>
          <w:spacing w:val="-5"/>
        </w:rPr>
        <w:t> </w:t>
      </w:r>
      <w:r>
        <w:rPr>
          <w:spacing w:val="-2"/>
        </w:rPr>
        <w:t>Kota</w:t>
      </w:r>
      <w:r>
        <w:rPr>
          <w:spacing w:val="-6"/>
        </w:rPr>
        <w:t> </w:t>
      </w:r>
      <w:r>
        <w:rPr>
          <w:spacing w:val="-2"/>
        </w:rPr>
        <w:t>Padangsidimpuan</w:t>
      </w:r>
      <w:r>
        <w:rPr>
          <w:spacing w:val="-6"/>
        </w:rPr>
        <w:t> </w:t>
      </w:r>
      <w:r>
        <w:rPr>
          <w:spacing w:val="-2"/>
        </w:rPr>
        <w:t>tahun 2026.</w:t>
      </w:r>
    </w:p>
    <w:p>
      <w:pPr>
        <w:pStyle w:val="Heading2"/>
        <w:spacing w:before="159"/>
        <w:ind w:left="24" w:right="210"/>
      </w:pPr>
      <w:r>
        <w:rPr/>
        <w:t>Tabel 6. Hubungan Sikap Dengan Pengelolaan Sampah Rumah Tangga Di Kelurahan Wek II Kota Padangsidimpuan Tahun 2026</w:t>
      </w:r>
    </w:p>
    <w:p>
      <w:pPr>
        <w:pStyle w:val="Heading2"/>
        <w:spacing w:after="0"/>
        <w:sectPr>
          <w:type w:val="continuous"/>
          <w:pgSz w:w="11910" w:h="16840"/>
          <w:pgMar w:header="0" w:footer="2031" w:top="1360" w:bottom="280" w:left="1417" w:right="1275"/>
          <w:cols w:num="2" w:equalWidth="0">
            <w:col w:w="4186" w:space="680"/>
            <w:col w:w="4352"/>
          </w:cols>
        </w:sectPr>
      </w:pPr>
    </w:p>
    <w:p>
      <w:pPr>
        <w:pStyle w:val="BodyText"/>
        <w:spacing w:after="1"/>
        <w:ind w:left="0"/>
        <w:jc w:val="left"/>
        <w:rPr>
          <w:b/>
          <w:sz w:val="10"/>
        </w:rPr>
      </w:pPr>
    </w:p>
    <w:p>
      <w:pPr>
        <w:spacing w:line="240" w:lineRule="auto"/>
        <w:ind w:left="50" w:right="-44" w:firstLine="0"/>
        <w:rPr>
          <w:sz w:val="20"/>
        </w:rPr>
      </w:pPr>
      <w:r>
        <w:rPr>
          <w:sz w:val="20"/>
        </w:rPr>
        <w:drawing>
          <wp:inline distT="0" distB="0" distL="0" distR="0">
            <wp:extent cx="2624110" cy="1042416"/>
            <wp:effectExtent l="0" t="0" r="0" b="0"/>
            <wp:docPr id="8" name="Image 8"/>
            <wp:cNvGraphicFramePr>
              <a:graphicFrameLocks/>
            </wp:cNvGraphicFramePr>
            <a:graphic>
              <a:graphicData uri="http://schemas.openxmlformats.org/drawingml/2006/picture">
                <pic:pic>
                  <pic:nvPicPr>
                    <pic:cNvPr id="8" name="Image 8"/>
                    <pic:cNvPicPr/>
                  </pic:nvPicPr>
                  <pic:blipFill>
                    <a:blip r:embed="rId8" cstate="print"/>
                    <a:stretch>
                      <a:fillRect/>
                    </a:stretch>
                  </pic:blipFill>
                  <pic:spPr>
                    <a:xfrm>
                      <a:off x="0" y="0"/>
                      <a:ext cx="2624110" cy="1042416"/>
                    </a:xfrm>
                    <a:prstGeom prst="rect">
                      <a:avLst/>
                    </a:prstGeom>
                  </pic:spPr>
                </pic:pic>
              </a:graphicData>
            </a:graphic>
          </wp:inline>
        </w:drawing>
      </w:r>
      <w:r>
        <w:rPr>
          <w:sz w:val="20"/>
        </w:rPr>
      </w:r>
    </w:p>
    <w:p>
      <w:pPr>
        <w:pStyle w:val="BodyText"/>
        <w:spacing w:before="252"/>
        <w:ind w:right="2" w:firstLine="427"/>
      </w:pPr>
      <w:r>
        <w:rPr/>
        <w:t>Tabel</w:t>
      </w:r>
      <w:r>
        <w:rPr>
          <w:spacing w:val="-14"/>
        </w:rPr>
        <w:t> </w:t>
      </w:r>
      <w:r>
        <w:rPr/>
        <w:t>6</w:t>
      </w:r>
      <w:r>
        <w:rPr>
          <w:spacing w:val="-14"/>
        </w:rPr>
        <w:t> </w:t>
      </w:r>
      <w:r>
        <w:rPr/>
        <w:t>diketahui</w:t>
      </w:r>
      <w:r>
        <w:rPr>
          <w:spacing w:val="-14"/>
        </w:rPr>
        <w:t> </w:t>
      </w:r>
      <w:r>
        <w:rPr/>
        <w:t>bahwa</w:t>
      </w:r>
      <w:r>
        <w:rPr>
          <w:spacing w:val="-13"/>
        </w:rPr>
        <w:t> </w:t>
      </w:r>
      <w:r>
        <w:rPr/>
        <w:t>dari</w:t>
      </w:r>
      <w:r>
        <w:rPr>
          <w:spacing w:val="-14"/>
        </w:rPr>
        <w:t> </w:t>
      </w:r>
      <w:r>
        <w:rPr/>
        <w:t>34</w:t>
      </w:r>
      <w:r>
        <w:rPr>
          <w:spacing w:val="-14"/>
        </w:rPr>
        <w:t> </w:t>
      </w:r>
      <w:r>
        <w:rPr/>
        <w:t>responden dengan sikap negatif dalam pengelolaan sampah rumah tangga, terdapat 24 responden (70,6%) yang pengelolaan sampahnya kurang baik dan 10 responden (29,4%) yang pengelolaan sampahnya baik. Sementara itu, </w:t>
      </w:r>
      <w:r>
        <w:rPr>
          <w:spacing w:val="-2"/>
        </w:rPr>
        <w:t>dari</w:t>
      </w:r>
      <w:r>
        <w:rPr>
          <w:spacing w:val="-3"/>
        </w:rPr>
        <w:t> </w:t>
      </w:r>
      <w:r>
        <w:rPr>
          <w:spacing w:val="-2"/>
        </w:rPr>
        <w:t>56</w:t>
      </w:r>
      <w:r>
        <w:rPr>
          <w:spacing w:val="-4"/>
        </w:rPr>
        <w:t> </w:t>
      </w:r>
      <w:r>
        <w:rPr>
          <w:spacing w:val="-2"/>
        </w:rPr>
        <w:t>responden dengan sikap</w:t>
      </w:r>
      <w:r>
        <w:rPr>
          <w:spacing w:val="-1"/>
        </w:rPr>
        <w:t> </w:t>
      </w:r>
      <w:r>
        <w:rPr>
          <w:spacing w:val="-2"/>
        </w:rPr>
        <w:t>positif,</w:t>
      </w:r>
      <w:r>
        <w:rPr>
          <w:spacing w:val="-4"/>
        </w:rPr>
        <w:t> </w:t>
      </w:r>
      <w:r>
        <w:rPr>
          <w:spacing w:val="-2"/>
        </w:rPr>
        <w:t>terdapat</w:t>
      </w:r>
    </w:p>
    <w:p>
      <w:pPr>
        <w:pStyle w:val="BodyText"/>
        <w:spacing w:line="242" w:lineRule="auto" w:before="1"/>
        <w:ind w:right="4"/>
      </w:pPr>
      <w:r>
        <w:rPr/>
        <w:t>23 responden (41,1%) yang pengelolaan sampahnya kurang baik dan 33 responden (58,9%) yang pengelolaan sampahnya baik.</w:t>
      </w:r>
    </w:p>
    <w:p>
      <w:pPr>
        <w:pStyle w:val="BodyText"/>
        <w:spacing w:before="234"/>
        <w:ind w:right="3" w:firstLine="427"/>
      </w:pPr>
      <w:r>
        <w:rPr/>
        <w:t>Hasil uji chi-square diperoleh p value 0,012 &lt; ɑ = 0,05 hal ini menunjukkan bahwa Ho ditolak dan Ha diterima yang artinya ada hubungan antara sikap dengan pengelolaan sampah rumah tangga di Kelurahan Wek II Kota Padangsidimpuan tahun 2026.</w:t>
      </w:r>
    </w:p>
    <w:p>
      <w:pPr>
        <w:pStyle w:val="Heading1"/>
        <w:numPr>
          <w:ilvl w:val="0"/>
          <w:numId w:val="1"/>
        </w:numPr>
        <w:tabs>
          <w:tab w:pos="450" w:val="left" w:leader="none"/>
        </w:tabs>
        <w:spacing w:line="240" w:lineRule="auto" w:before="159" w:after="0"/>
        <w:ind w:left="450" w:right="0" w:hanging="427"/>
        <w:jc w:val="both"/>
      </w:pPr>
      <w:r>
        <w:rPr>
          <w:spacing w:val="-2"/>
        </w:rPr>
        <w:t>PEMBAHASAN</w:t>
      </w:r>
    </w:p>
    <w:p>
      <w:pPr>
        <w:pStyle w:val="Heading2"/>
        <w:tabs>
          <w:tab w:pos="1652" w:val="left" w:leader="none"/>
          <w:tab w:pos="3473" w:val="left" w:leader="none"/>
        </w:tabs>
        <w:spacing w:line="242" w:lineRule="auto"/>
        <w:ind w:right="4"/>
      </w:pPr>
      <w:r>
        <w:rPr>
          <w:spacing w:val="-2"/>
        </w:rPr>
        <w:t>Gambaran</w:t>
      </w:r>
      <w:r>
        <w:rPr/>
        <w:tab/>
      </w:r>
      <w:r>
        <w:rPr>
          <w:spacing w:val="-2"/>
        </w:rPr>
        <w:t>Pengetahuan</w:t>
      </w:r>
      <w:r>
        <w:rPr/>
        <w:tab/>
      </w:r>
      <w:r>
        <w:rPr>
          <w:spacing w:val="-2"/>
        </w:rPr>
        <w:t>tentang </w:t>
      </w:r>
      <w:r>
        <w:rPr/>
        <w:t>Pengelolaan Sampah Rumah Tangga Di Kelurahan Wek II Kota Padangsidimpuan Tahun 2026</w:t>
      </w:r>
    </w:p>
    <w:p>
      <w:pPr>
        <w:pStyle w:val="BodyText"/>
        <w:spacing w:before="111"/>
        <w:ind w:right="2" w:firstLine="719"/>
      </w:pPr>
      <w:r>
        <w:rPr/>
        <w:t>Berdasarkan hasil penelitian diketahui bahwa dari 90 responden di Kelurahan Wek II Kota</w:t>
      </w:r>
      <w:r>
        <w:rPr>
          <w:spacing w:val="-2"/>
        </w:rPr>
        <w:t> </w:t>
      </w:r>
      <w:r>
        <w:rPr/>
        <w:t>Padangsidimpuan</w:t>
      </w:r>
      <w:r>
        <w:rPr>
          <w:spacing w:val="-7"/>
        </w:rPr>
        <w:t> </w:t>
      </w:r>
      <w:r>
        <w:rPr/>
        <w:t>Tahun</w:t>
      </w:r>
      <w:r>
        <w:rPr>
          <w:spacing w:val="-2"/>
        </w:rPr>
        <w:t> </w:t>
      </w:r>
      <w:r>
        <w:rPr/>
        <w:t>2026,</w:t>
      </w:r>
      <w:r>
        <w:rPr>
          <w:spacing w:val="-2"/>
        </w:rPr>
        <w:t> </w:t>
      </w:r>
      <w:r>
        <w:rPr/>
        <w:t>mayoritas responden memiliki tingkat pengetahuan yang baik sebanyak 50 orang (55,6%), sedangkan responden yang memiliki pengetahuan cukup sebanyak</w:t>
      </w:r>
      <w:r>
        <w:rPr>
          <w:spacing w:val="24"/>
        </w:rPr>
        <w:t> </w:t>
      </w:r>
      <w:r>
        <w:rPr/>
        <w:t>25</w:t>
      </w:r>
      <w:r>
        <w:rPr>
          <w:spacing w:val="26"/>
        </w:rPr>
        <w:t> </w:t>
      </w:r>
      <w:r>
        <w:rPr/>
        <w:t>orang</w:t>
      </w:r>
      <w:r>
        <w:rPr>
          <w:spacing w:val="25"/>
        </w:rPr>
        <w:t> </w:t>
      </w:r>
      <w:r>
        <w:rPr/>
        <w:t>(27,8%),</w:t>
      </w:r>
      <w:r>
        <w:rPr>
          <w:spacing w:val="26"/>
        </w:rPr>
        <w:t> </w:t>
      </w:r>
      <w:r>
        <w:rPr/>
        <w:t>dan</w:t>
      </w:r>
      <w:r>
        <w:rPr>
          <w:spacing w:val="27"/>
        </w:rPr>
        <w:t> </w:t>
      </w:r>
      <w:r>
        <w:rPr>
          <w:spacing w:val="-2"/>
        </w:rPr>
        <w:t>pengetahuan</w:t>
      </w:r>
    </w:p>
    <w:p>
      <w:pPr>
        <w:pStyle w:val="BodyText"/>
        <w:spacing w:before="1"/>
        <w:ind w:right="3"/>
      </w:pPr>
      <w:r>
        <w:rPr/>
        <w:t>kurang sebanyak 15 orang (16,7%). Hasil tersebut menunjukkan bahwa sebagian besar masyarakat telah memahami pengelolaan sampah rumah tangga, mulai dari penyediaan tempat sampah, jenis sampah serta dampak sampah terhadap lingkungan.</w:t>
      </w:r>
    </w:p>
    <w:p>
      <w:pPr>
        <w:pStyle w:val="BodyText"/>
        <w:spacing w:before="119"/>
        <w:ind w:right="3" w:firstLine="719"/>
      </w:pPr>
      <w:r>
        <w:rPr/>
        <w:t>Tingginya tingkat pengetahuan responden dapat dipengaruhi oleh berbagai faktor,</w:t>
      </w:r>
      <w:r>
        <w:rPr>
          <w:spacing w:val="-7"/>
        </w:rPr>
        <w:t> </w:t>
      </w:r>
      <w:r>
        <w:rPr/>
        <w:t>seperti</w:t>
      </w:r>
      <w:r>
        <w:rPr>
          <w:spacing w:val="-6"/>
        </w:rPr>
        <w:t> </w:t>
      </w:r>
      <w:r>
        <w:rPr/>
        <w:t>tingkat</w:t>
      </w:r>
      <w:r>
        <w:rPr>
          <w:spacing w:val="-6"/>
        </w:rPr>
        <w:t> </w:t>
      </w:r>
      <w:r>
        <w:rPr/>
        <w:t>pendidikan,</w:t>
      </w:r>
      <w:r>
        <w:rPr>
          <w:spacing w:val="-8"/>
        </w:rPr>
        <w:t> </w:t>
      </w:r>
      <w:r>
        <w:rPr/>
        <w:t>pengalaman, serta akses terhadap informasi. Pengetahuan merupakan hasil dari proses pengindraan seseorang terhadap suatu objek melalui pancaindra,</w:t>
      </w:r>
      <w:r>
        <w:rPr>
          <w:spacing w:val="64"/>
        </w:rPr>
        <w:t>  </w:t>
      </w:r>
      <w:r>
        <w:rPr/>
        <w:t>terutama</w:t>
      </w:r>
      <w:r>
        <w:rPr>
          <w:spacing w:val="63"/>
        </w:rPr>
        <w:t>  </w:t>
      </w:r>
      <w:r>
        <w:rPr/>
        <w:t>mata</w:t>
      </w:r>
      <w:r>
        <w:rPr>
          <w:spacing w:val="64"/>
        </w:rPr>
        <w:t>  </w:t>
      </w:r>
      <w:r>
        <w:rPr/>
        <w:t>dan</w:t>
      </w:r>
      <w:r>
        <w:rPr>
          <w:spacing w:val="65"/>
        </w:rPr>
        <w:t>  </w:t>
      </w:r>
      <w:r>
        <w:rPr>
          <w:spacing w:val="-2"/>
        </w:rPr>
        <w:t>telinga.</w:t>
      </w:r>
    </w:p>
    <w:p>
      <w:pPr>
        <w:pStyle w:val="BodyText"/>
        <w:spacing w:before="80"/>
        <w:ind w:right="159"/>
      </w:pPr>
      <w:r>
        <w:rPr/>
        <w:br w:type="column"/>
      </w:r>
      <w:r>
        <w:rPr/>
        <w:t>Informasi yang diterima secara terus-menerus akan membentuk pemahaman seseorang sehingga</w:t>
      </w:r>
      <w:r>
        <w:rPr>
          <w:spacing w:val="-1"/>
        </w:rPr>
        <w:t> </w:t>
      </w:r>
      <w:r>
        <w:rPr/>
        <w:t>mampu</w:t>
      </w:r>
      <w:r>
        <w:rPr>
          <w:spacing w:val="-1"/>
        </w:rPr>
        <w:t> </w:t>
      </w:r>
      <w:r>
        <w:rPr/>
        <w:t>memengaruhi</w:t>
      </w:r>
      <w:r>
        <w:rPr>
          <w:spacing w:val="-1"/>
        </w:rPr>
        <w:t> </w:t>
      </w:r>
      <w:r>
        <w:rPr/>
        <w:t>perilaku dalam kehidupan sehari-hari. Menurut</w:t>
      </w:r>
      <w:r>
        <w:rPr>
          <w:spacing w:val="40"/>
        </w:rPr>
        <w:t> </w:t>
      </w:r>
      <w:r>
        <w:rPr/>
        <w:t>Notoatmodjo (2018), pengetahuan merupakan domain yang sangat penting dalam pembentukan tindakan seseorang karena seseorang tidak akan mampu melakukan suatu perilaku secara benar apabila belum memahami manfaat dan tujuan dari perilaku tersebut.</w:t>
      </w:r>
    </w:p>
    <w:p>
      <w:pPr>
        <w:pStyle w:val="BodyText"/>
        <w:spacing w:before="120"/>
        <w:ind w:right="160" w:firstLine="720"/>
      </w:pPr>
      <w:r>
        <w:rPr/>
        <w:t>Hasil penelitian ini menunjukkan bahwa sebagian besar masyarakat telah memiliki pengetahuan yang baik mengenai pengelolaan sampah. Kondisi tersebut kemungkinan disebabkan oleh semakin mudahnya masyarakat memperoleh informasi pengelolaan sampah melalui media sosial, internet maupun televisi. Semakin banyak informasi yang diterima seseorang, maka semakin tinggi pula kemungkinan seseorang memiliki pengetahuan yang baik mengenai suatu permasalahan lingkungan dalam pengelolaan sampah.</w:t>
      </w:r>
    </w:p>
    <w:p>
      <w:pPr>
        <w:pStyle w:val="Heading2"/>
        <w:spacing w:before="120"/>
        <w:ind w:right="211"/>
      </w:pPr>
      <w:r>
        <w:rPr/>
        <w:t>Gambaran Sikap tentang Pengelolaan Sampah</w:t>
      </w:r>
      <w:r>
        <w:rPr>
          <w:spacing w:val="-8"/>
        </w:rPr>
        <w:t> </w:t>
      </w:r>
      <w:r>
        <w:rPr/>
        <w:t>Rumah</w:t>
      </w:r>
      <w:r>
        <w:rPr>
          <w:spacing w:val="-11"/>
        </w:rPr>
        <w:t> </w:t>
      </w:r>
      <w:r>
        <w:rPr/>
        <w:t>Tangga</w:t>
      </w:r>
      <w:r>
        <w:rPr>
          <w:spacing w:val="-13"/>
        </w:rPr>
        <w:t> </w:t>
      </w:r>
      <w:r>
        <w:rPr/>
        <w:t>Di</w:t>
      </w:r>
      <w:r>
        <w:rPr>
          <w:spacing w:val="-9"/>
        </w:rPr>
        <w:t> </w:t>
      </w:r>
      <w:r>
        <w:rPr/>
        <w:t>Kelurahan</w:t>
      </w:r>
      <w:r>
        <w:rPr>
          <w:spacing w:val="-11"/>
        </w:rPr>
        <w:t> </w:t>
      </w:r>
      <w:r>
        <w:rPr/>
        <w:t>Wek II Kota Padangsidimpuan Tahun 2026</w:t>
      </w:r>
    </w:p>
    <w:p>
      <w:pPr>
        <w:pStyle w:val="BodyText"/>
        <w:spacing w:before="122"/>
        <w:ind w:right="159" w:firstLine="720"/>
      </w:pPr>
      <w:r>
        <w:rPr/>
        <w:t>Berdasarkan</w:t>
      </w:r>
      <w:r>
        <w:rPr>
          <w:spacing w:val="-4"/>
        </w:rPr>
        <w:t> </w:t>
      </w:r>
      <w:r>
        <w:rPr/>
        <w:t>hasil</w:t>
      </w:r>
      <w:r>
        <w:rPr>
          <w:spacing w:val="-4"/>
        </w:rPr>
        <w:t> </w:t>
      </w:r>
      <w:r>
        <w:rPr/>
        <w:t>penelitian,</w:t>
      </w:r>
      <w:r>
        <w:rPr>
          <w:spacing w:val="-5"/>
        </w:rPr>
        <w:t> </w:t>
      </w:r>
      <w:r>
        <w:rPr/>
        <w:t>diketahui bahwa</w:t>
      </w:r>
      <w:r>
        <w:rPr>
          <w:spacing w:val="-12"/>
        </w:rPr>
        <w:t> </w:t>
      </w:r>
      <w:r>
        <w:rPr/>
        <w:t>dari</w:t>
      </w:r>
      <w:r>
        <w:rPr>
          <w:spacing w:val="-11"/>
        </w:rPr>
        <w:t> </w:t>
      </w:r>
      <w:r>
        <w:rPr/>
        <w:t>90</w:t>
      </w:r>
      <w:r>
        <w:rPr>
          <w:spacing w:val="-12"/>
        </w:rPr>
        <w:t> </w:t>
      </w:r>
      <w:r>
        <w:rPr/>
        <w:t>responden</w:t>
      </w:r>
      <w:r>
        <w:rPr>
          <w:spacing w:val="-11"/>
        </w:rPr>
        <w:t> </w:t>
      </w:r>
      <w:r>
        <w:rPr/>
        <w:t>yang</w:t>
      </w:r>
      <w:r>
        <w:rPr>
          <w:spacing w:val="-12"/>
        </w:rPr>
        <w:t> </w:t>
      </w:r>
      <w:r>
        <w:rPr/>
        <w:t>diteliti,</w:t>
      </w:r>
      <w:r>
        <w:rPr>
          <w:spacing w:val="-12"/>
        </w:rPr>
        <w:t> </w:t>
      </w:r>
      <w:r>
        <w:rPr/>
        <w:t>sebagian besar</w:t>
      </w:r>
      <w:r>
        <w:rPr>
          <w:spacing w:val="-5"/>
        </w:rPr>
        <w:t> </w:t>
      </w:r>
      <w:r>
        <w:rPr/>
        <w:t>memiliki</w:t>
      </w:r>
      <w:r>
        <w:rPr>
          <w:spacing w:val="-4"/>
        </w:rPr>
        <w:t> </w:t>
      </w:r>
      <w:r>
        <w:rPr/>
        <w:t>sikap</w:t>
      </w:r>
      <w:r>
        <w:rPr>
          <w:spacing w:val="-5"/>
        </w:rPr>
        <w:t> </w:t>
      </w:r>
      <w:r>
        <w:rPr/>
        <w:t>positif</w:t>
      </w:r>
      <w:r>
        <w:rPr>
          <w:spacing w:val="-5"/>
        </w:rPr>
        <w:t> </w:t>
      </w:r>
      <w:r>
        <w:rPr/>
        <w:t>sebanyak</w:t>
      </w:r>
      <w:r>
        <w:rPr>
          <w:spacing w:val="-5"/>
        </w:rPr>
        <w:t> </w:t>
      </w:r>
      <w:r>
        <w:rPr/>
        <w:t>56</w:t>
      </w:r>
      <w:r>
        <w:rPr>
          <w:spacing w:val="-5"/>
        </w:rPr>
        <w:t> </w:t>
      </w:r>
      <w:r>
        <w:rPr/>
        <w:t>orang (62,2%) dan sikap negatif sebanyak 34 orang (37,8%).</w:t>
      </w:r>
      <w:r>
        <w:rPr>
          <w:spacing w:val="-2"/>
        </w:rPr>
        <w:t> </w:t>
      </w:r>
      <w:r>
        <w:rPr/>
        <w:t>Hal</w:t>
      </w:r>
      <w:r>
        <w:rPr>
          <w:spacing w:val="-3"/>
        </w:rPr>
        <w:t> </w:t>
      </w:r>
      <w:r>
        <w:rPr/>
        <w:t>ini</w:t>
      </w:r>
      <w:r>
        <w:rPr>
          <w:spacing w:val="-3"/>
        </w:rPr>
        <w:t> </w:t>
      </w:r>
      <w:r>
        <w:rPr/>
        <w:t>menunjukkan</w:t>
      </w:r>
      <w:r>
        <w:rPr>
          <w:spacing w:val="-1"/>
        </w:rPr>
        <w:t> </w:t>
      </w:r>
      <w:r>
        <w:rPr/>
        <w:t>bahwa</w:t>
      </w:r>
      <w:r>
        <w:rPr>
          <w:spacing w:val="-1"/>
        </w:rPr>
        <w:t> </w:t>
      </w:r>
      <w:r>
        <w:rPr/>
        <w:t>sebagian besar masyarakat telah memiliki kecenderungan untuk mendukung upaya pengelolaan sampah yang baik demi menjaga kebersihan lingkungan.</w:t>
      </w:r>
    </w:p>
    <w:p>
      <w:pPr>
        <w:pStyle w:val="BodyText"/>
        <w:ind w:right="159" w:firstLine="720"/>
      </w:pPr>
      <w:r>
        <w:rPr/>
        <w:t>Menurut Notoatmodjo (2018), sikap merupakan</w:t>
      </w:r>
      <w:r>
        <w:rPr>
          <w:spacing w:val="-13"/>
        </w:rPr>
        <w:t> </w:t>
      </w:r>
      <w:r>
        <w:rPr/>
        <w:t>respons</w:t>
      </w:r>
      <w:r>
        <w:rPr>
          <w:spacing w:val="-12"/>
        </w:rPr>
        <w:t> </w:t>
      </w:r>
      <w:r>
        <w:rPr/>
        <w:t>tertutup</w:t>
      </w:r>
      <w:r>
        <w:rPr>
          <w:spacing w:val="-14"/>
        </w:rPr>
        <w:t> </w:t>
      </w:r>
      <w:r>
        <w:rPr/>
        <w:t>seseorang</w:t>
      </w:r>
      <w:r>
        <w:rPr>
          <w:spacing w:val="-12"/>
        </w:rPr>
        <w:t> </w:t>
      </w:r>
      <w:r>
        <w:rPr/>
        <w:t>terhadap suatu objek yang belum diwujudkan dalam bentuk tindakan nyata, namun sikap akan memengaruhi kecenderungan seseorang dalam berperilaku. Sikap terbentuk melalui pengalaman pribadi, pengetahuan, </w:t>
      </w:r>
      <w:r>
        <w:rPr/>
        <w:t>budaya, lingkungan sosial, serta informasi yang diterima seseorang. Oleh karena itu, masyarakat yang memiliki pengetahuan yang baik umumnya akan menunjukkan sikap yang lebih positif terhadap upaya menjaga kebersihan lingkungan.</w:t>
      </w:r>
    </w:p>
    <w:p>
      <w:pPr>
        <w:pStyle w:val="BodyText"/>
        <w:spacing w:before="1"/>
        <w:ind w:right="160" w:firstLine="720"/>
      </w:pPr>
      <w:r>
        <w:rPr/>
        <w:t>Sikap positif yang dimiliki mayoritas responden</w:t>
      </w:r>
      <w:r>
        <w:rPr>
          <w:spacing w:val="72"/>
          <w:w w:val="150"/>
        </w:rPr>
        <w:t> </w:t>
      </w:r>
      <w:r>
        <w:rPr/>
        <w:t>menunjukkan</w:t>
      </w:r>
      <w:r>
        <w:rPr>
          <w:spacing w:val="73"/>
          <w:w w:val="150"/>
        </w:rPr>
        <w:t> </w:t>
      </w:r>
      <w:r>
        <w:rPr/>
        <w:t>bahwa</w:t>
      </w:r>
      <w:r>
        <w:rPr>
          <w:spacing w:val="72"/>
          <w:w w:val="150"/>
        </w:rPr>
        <w:t> </w:t>
      </w:r>
      <w:r>
        <w:rPr>
          <w:spacing w:val="-2"/>
        </w:rPr>
        <w:t>masyarakat</w:t>
      </w:r>
    </w:p>
    <w:p>
      <w:pPr>
        <w:pStyle w:val="BodyText"/>
        <w:spacing w:after="0"/>
        <w:sectPr>
          <w:pgSz w:w="11910" w:h="16840"/>
          <w:pgMar w:header="0" w:footer="2031" w:top="1340" w:bottom="2220" w:left="1417" w:right="1275"/>
          <w:cols w:num="2" w:equalWidth="0">
            <w:col w:w="4190" w:space="677"/>
            <w:col w:w="4351"/>
          </w:cols>
        </w:sectPr>
      </w:pPr>
    </w:p>
    <w:p>
      <w:pPr>
        <w:pStyle w:val="BodyText"/>
        <w:spacing w:before="80"/>
      </w:pPr>
      <w:r>
        <w:rPr/>
        <w:t>telah</w:t>
      </w:r>
      <w:r>
        <w:rPr>
          <w:spacing w:val="-8"/>
        </w:rPr>
        <w:t> </w:t>
      </w:r>
      <w:r>
        <w:rPr/>
        <w:t>memiliki</w:t>
      </w:r>
      <w:r>
        <w:rPr>
          <w:spacing w:val="-7"/>
        </w:rPr>
        <w:t> </w:t>
      </w:r>
      <w:r>
        <w:rPr/>
        <w:t>kesadaran</w:t>
      </w:r>
      <w:r>
        <w:rPr>
          <w:spacing w:val="-10"/>
        </w:rPr>
        <w:t> </w:t>
      </w:r>
      <w:r>
        <w:rPr/>
        <w:t>mengenai</w:t>
      </w:r>
      <w:r>
        <w:rPr>
          <w:spacing w:val="-7"/>
        </w:rPr>
        <w:t> </w:t>
      </w:r>
      <w:r>
        <w:rPr/>
        <w:t>pentingnya menjaga kebersihan lingkungan, membuang sampah pada tempatnya, serta mendukung kegiatan pengelolaan sampah di lingkungan tempat tinggal. Namun demikian, masih terdapat 34 responden (37,8%) yang memiliki sikap negatif. Kondisi tersebut dapat disebabkan oleh kebiasaan lama yang masih sulit diubah, kurangnya kepedulian terhadap lingkungan, maupun kurangnya </w:t>
      </w:r>
      <w:r>
        <w:rPr/>
        <w:t>dukungan fasilitas pengelolaan sampah.</w:t>
      </w:r>
    </w:p>
    <w:p>
      <w:pPr>
        <w:pStyle w:val="Heading2"/>
        <w:tabs>
          <w:tab w:pos="1609" w:val="left" w:leader="none"/>
          <w:tab w:pos="3411" w:val="left" w:leader="none"/>
        </w:tabs>
        <w:spacing w:line="242" w:lineRule="auto"/>
        <w:ind w:right="49"/>
      </w:pPr>
      <w:r>
        <w:rPr>
          <w:spacing w:val="-2"/>
        </w:rPr>
        <w:t>Hubungan</w:t>
      </w:r>
      <w:r>
        <w:rPr/>
        <w:tab/>
      </w:r>
      <w:r>
        <w:rPr>
          <w:spacing w:val="-2"/>
        </w:rPr>
        <w:t>Pengetahuan</w:t>
      </w:r>
      <w:r>
        <w:rPr/>
        <w:tab/>
      </w:r>
      <w:r>
        <w:rPr>
          <w:spacing w:val="-2"/>
        </w:rPr>
        <w:t>Dengan </w:t>
      </w:r>
      <w:r>
        <w:rPr/>
        <w:t>Pengelolaan Sampah Rumah Tangga Di Kelurahan Wek II Kota Padangsidimpuan Tahun 2026</w:t>
      </w:r>
    </w:p>
    <w:p>
      <w:pPr>
        <w:pStyle w:val="BodyText"/>
        <w:spacing w:before="112"/>
        <w:ind w:right="1" w:firstLine="719"/>
      </w:pPr>
      <w:r>
        <w:rPr/>
        <w:t>Dari hasil analisa bivariat yang telah dilakukan menggunakan uji Chi Square diperoleh</w:t>
      </w:r>
      <w:r>
        <w:rPr>
          <w:spacing w:val="-14"/>
        </w:rPr>
        <w:t> </w:t>
      </w:r>
      <w:r>
        <w:rPr/>
        <w:t>nilai</w:t>
      </w:r>
      <w:r>
        <w:rPr>
          <w:spacing w:val="-14"/>
        </w:rPr>
        <w:t> </w:t>
      </w:r>
      <w:r>
        <w:rPr/>
        <w:t>p-value</w:t>
      </w:r>
      <w:r>
        <w:rPr>
          <w:spacing w:val="-14"/>
        </w:rPr>
        <w:t> </w:t>
      </w:r>
      <w:r>
        <w:rPr/>
        <w:t>sebesar</w:t>
      </w:r>
      <w:r>
        <w:rPr>
          <w:spacing w:val="-13"/>
        </w:rPr>
        <w:t> </w:t>
      </w:r>
      <w:r>
        <w:rPr/>
        <w:t>0,001</w:t>
      </w:r>
      <w:r>
        <w:rPr>
          <w:spacing w:val="-14"/>
        </w:rPr>
        <w:t> </w:t>
      </w:r>
      <w:r>
        <w:rPr/>
        <w:t>(p</w:t>
      </w:r>
      <w:r>
        <w:rPr>
          <w:spacing w:val="-14"/>
        </w:rPr>
        <w:t> </w:t>
      </w:r>
      <w:r>
        <w:rPr/>
        <w:t>&lt;</w:t>
      </w:r>
      <w:r>
        <w:rPr>
          <w:spacing w:val="-14"/>
        </w:rPr>
        <w:t> </w:t>
      </w:r>
      <w:r>
        <w:rPr/>
        <w:t>0,05), maka Ho ditolak dan Ha diterima yang berarti terdapat hubungan yang signifikan antara pengetahuan dengan pengelolaan </w:t>
      </w:r>
      <w:r>
        <w:rPr/>
        <w:t>sampah rumah tangga di Kelurahan Wek II Kota Padangsidimpuan Tahun 2026.</w:t>
      </w:r>
    </w:p>
    <w:p>
      <w:pPr>
        <w:pStyle w:val="BodyText"/>
        <w:ind w:firstLine="719"/>
      </w:pPr>
      <w:r>
        <w:rPr/>
        <w:t>Pengetahuan</w:t>
      </w:r>
      <w:r>
        <w:rPr>
          <w:spacing w:val="-14"/>
        </w:rPr>
        <w:t> </w:t>
      </w:r>
      <w:r>
        <w:rPr/>
        <w:t>merupakan</w:t>
      </w:r>
      <w:r>
        <w:rPr>
          <w:spacing w:val="-14"/>
        </w:rPr>
        <w:t> </w:t>
      </w:r>
      <w:r>
        <w:rPr/>
        <w:t>faktor</w:t>
      </w:r>
      <w:r>
        <w:rPr>
          <w:spacing w:val="-14"/>
        </w:rPr>
        <w:t> </w:t>
      </w:r>
      <w:r>
        <w:rPr/>
        <w:t>penting yang menentukan terbentuknya perilaku seseorang. Notoatmodjo (2012) menyatakan bahwa</w:t>
      </w:r>
      <w:r>
        <w:rPr>
          <w:spacing w:val="-6"/>
        </w:rPr>
        <w:t> </w:t>
      </w:r>
      <w:r>
        <w:rPr/>
        <w:t>pengetahuan</w:t>
      </w:r>
      <w:r>
        <w:rPr>
          <w:spacing w:val="-6"/>
        </w:rPr>
        <w:t> </w:t>
      </w:r>
      <w:r>
        <w:rPr/>
        <w:t>adalah</w:t>
      </w:r>
      <w:r>
        <w:rPr>
          <w:spacing w:val="-6"/>
        </w:rPr>
        <w:t> </w:t>
      </w:r>
      <w:r>
        <w:rPr/>
        <w:t>hasil</w:t>
      </w:r>
      <w:r>
        <w:rPr>
          <w:spacing w:val="-5"/>
        </w:rPr>
        <w:t> </w:t>
      </w:r>
      <w:r>
        <w:rPr/>
        <w:t>dari</w:t>
      </w:r>
      <w:r>
        <w:rPr>
          <w:spacing w:val="-5"/>
        </w:rPr>
        <w:t> </w:t>
      </w:r>
      <w:r>
        <w:rPr/>
        <w:t>tahu</w:t>
      </w:r>
      <w:r>
        <w:rPr>
          <w:spacing w:val="-6"/>
        </w:rPr>
        <w:t> </w:t>
      </w:r>
      <w:r>
        <w:rPr/>
        <w:t>yang terjadi melalui proses sensoris khususnya pengindraan terhadap objek tertentu, dan pengetahuan merupakan domain yang sangat penting dalam pembentukan tindakan seseorang. Pengetahuan yang baik tentang pengelolaan sampah akan mendorong individu untuk berperilaku lebih bertanggung jawab terhadap lingkungannya.</w:t>
      </w:r>
    </w:p>
    <w:p>
      <w:pPr>
        <w:pStyle w:val="BodyText"/>
        <w:ind w:right="1" w:firstLine="719"/>
      </w:pPr>
      <w:r>
        <w:rPr/>
        <w:t>Penelitian yang dilakukan Mutiara (2016), menyatakan bahwa </w:t>
      </w:r>
      <w:r>
        <w:rPr/>
        <w:t>pengetahuan </w:t>
      </w:r>
      <w:r>
        <w:rPr>
          <w:spacing w:val="-2"/>
        </w:rPr>
        <w:t>manusia</w:t>
      </w:r>
      <w:r>
        <w:rPr>
          <w:spacing w:val="-5"/>
        </w:rPr>
        <w:t> </w:t>
      </w:r>
      <w:r>
        <w:rPr>
          <w:spacing w:val="-2"/>
        </w:rPr>
        <w:t>dapat</w:t>
      </w:r>
      <w:r>
        <w:rPr>
          <w:spacing w:val="-4"/>
        </w:rPr>
        <w:t> </w:t>
      </w:r>
      <w:r>
        <w:rPr>
          <w:spacing w:val="-2"/>
        </w:rPr>
        <w:t>diperoleh</w:t>
      </w:r>
      <w:r>
        <w:rPr>
          <w:spacing w:val="-5"/>
        </w:rPr>
        <w:t> </w:t>
      </w:r>
      <w:r>
        <w:rPr>
          <w:spacing w:val="-2"/>
        </w:rPr>
        <w:t>dari pendidikan</w:t>
      </w:r>
      <w:r>
        <w:rPr>
          <w:spacing w:val="-5"/>
        </w:rPr>
        <w:t> </w:t>
      </w:r>
      <w:r>
        <w:rPr>
          <w:spacing w:val="-2"/>
        </w:rPr>
        <w:t>formal </w:t>
      </w:r>
      <w:r>
        <w:rPr/>
        <w:t>maupun pengalaman pribadi, hal ini diartikan bahwa</w:t>
      </w:r>
      <w:r>
        <w:rPr>
          <w:spacing w:val="-3"/>
        </w:rPr>
        <w:t> </w:t>
      </w:r>
      <w:r>
        <w:rPr/>
        <w:t>pada</w:t>
      </w:r>
      <w:r>
        <w:rPr>
          <w:spacing w:val="-4"/>
        </w:rPr>
        <w:t> </w:t>
      </w:r>
      <w:r>
        <w:rPr/>
        <w:t>tingkat</w:t>
      </w:r>
      <w:r>
        <w:rPr>
          <w:spacing w:val="-3"/>
        </w:rPr>
        <w:t> </w:t>
      </w:r>
      <w:r>
        <w:rPr/>
        <w:t>pendidikan</w:t>
      </w:r>
      <w:r>
        <w:rPr>
          <w:spacing w:val="-2"/>
        </w:rPr>
        <w:t> </w:t>
      </w:r>
      <w:r>
        <w:rPr/>
        <w:t>dengan</w:t>
      </w:r>
      <w:r>
        <w:rPr>
          <w:spacing w:val="-4"/>
        </w:rPr>
        <w:t> </w:t>
      </w:r>
      <w:r>
        <w:rPr/>
        <w:t>jenjang tinggi maka pengetahuan mengenai pengelolaan sampah akan lebih baik. Hal ini sejalan</w:t>
      </w:r>
      <w:r>
        <w:rPr>
          <w:spacing w:val="-5"/>
        </w:rPr>
        <w:t> </w:t>
      </w:r>
      <w:r>
        <w:rPr/>
        <w:t>dengan</w:t>
      </w:r>
      <w:r>
        <w:rPr>
          <w:spacing w:val="-5"/>
        </w:rPr>
        <w:t> </w:t>
      </w:r>
      <w:r>
        <w:rPr/>
        <w:t>pendapat</w:t>
      </w:r>
      <w:r>
        <w:rPr>
          <w:spacing w:val="-4"/>
        </w:rPr>
        <w:t> </w:t>
      </w:r>
      <w:r>
        <w:rPr/>
        <w:t>Slamet</w:t>
      </w:r>
      <w:r>
        <w:rPr>
          <w:spacing w:val="-4"/>
        </w:rPr>
        <w:t> </w:t>
      </w:r>
      <w:r>
        <w:rPr/>
        <w:t>(2010),</w:t>
      </w:r>
      <w:r>
        <w:rPr>
          <w:spacing w:val="-5"/>
        </w:rPr>
        <w:t> </w:t>
      </w:r>
      <w:r>
        <w:rPr/>
        <w:t>bahwa dari aspek pendidikan, semakin tinggi tingkat pendidikan seseorang, maka ia akan lebih mudah dalam menerima hal-hal baru sehingga akan lebih mudah pula untuk menyelesaikan hal-hal baru tersebut.</w:t>
      </w:r>
    </w:p>
    <w:p>
      <w:pPr>
        <w:pStyle w:val="BodyText"/>
        <w:spacing w:before="2"/>
        <w:ind w:right="1" w:firstLine="719"/>
      </w:pPr>
      <w:r>
        <w:rPr/>
        <w:t>Penelitian yang dilakukan oleh Akbar (2021),</w:t>
      </w:r>
      <w:r>
        <w:rPr>
          <w:spacing w:val="55"/>
        </w:rPr>
        <w:t> </w:t>
      </w:r>
      <w:r>
        <w:rPr/>
        <w:t>di</w:t>
      </w:r>
      <w:r>
        <w:rPr>
          <w:spacing w:val="56"/>
        </w:rPr>
        <w:t> </w:t>
      </w:r>
      <w:r>
        <w:rPr/>
        <w:t>Desa</w:t>
      </w:r>
      <w:r>
        <w:rPr>
          <w:spacing w:val="56"/>
        </w:rPr>
        <w:t> </w:t>
      </w:r>
      <w:r>
        <w:rPr/>
        <w:t>Muntoi</w:t>
      </w:r>
      <w:r>
        <w:rPr>
          <w:spacing w:val="54"/>
        </w:rPr>
        <w:t> </w:t>
      </w:r>
      <w:r>
        <w:rPr/>
        <w:t>Kabupaten</w:t>
      </w:r>
      <w:r>
        <w:rPr>
          <w:spacing w:val="56"/>
        </w:rPr>
        <w:t> </w:t>
      </w:r>
      <w:r>
        <w:rPr>
          <w:spacing w:val="-2"/>
        </w:rPr>
        <w:t>Bolaang</w:t>
      </w:r>
    </w:p>
    <w:p>
      <w:pPr>
        <w:pStyle w:val="BodyText"/>
        <w:spacing w:before="80"/>
        <w:ind w:right="160"/>
      </w:pPr>
      <w:r>
        <w:rPr/>
        <w:br w:type="column"/>
      </w:r>
      <w:r>
        <w:rPr/>
        <w:t>Mongondow juga mendapatkan hasil yang </w:t>
      </w:r>
      <w:r>
        <w:rPr>
          <w:spacing w:val="-2"/>
        </w:rPr>
        <w:t>serupa,</w:t>
      </w:r>
      <w:r>
        <w:rPr>
          <w:spacing w:val="-3"/>
        </w:rPr>
        <w:t> </w:t>
      </w:r>
      <w:r>
        <w:rPr>
          <w:spacing w:val="-2"/>
        </w:rPr>
        <w:t>yaitu</w:t>
      </w:r>
      <w:r>
        <w:rPr>
          <w:spacing w:val="-7"/>
        </w:rPr>
        <w:t> </w:t>
      </w:r>
      <w:r>
        <w:rPr>
          <w:spacing w:val="-2"/>
        </w:rPr>
        <w:t>terdapat</w:t>
      </w:r>
      <w:r>
        <w:rPr>
          <w:spacing w:val="-3"/>
        </w:rPr>
        <w:t> </w:t>
      </w:r>
      <w:r>
        <w:rPr>
          <w:spacing w:val="-2"/>
        </w:rPr>
        <w:t>hubungan</w:t>
      </w:r>
      <w:r>
        <w:rPr>
          <w:spacing w:val="-3"/>
        </w:rPr>
        <w:t> </w:t>
      </w:r>
      <w:r>
        <w:rPr>
          <w:spacing w:val="-2"/>
        </w:rPr>
        <w:t>yang</w:t>
      </w:r>
      <w:r>
        <w:rPr>
          <w:spacing w:val="-3"/>
        </w:rPr>
        <w:t> </w:t>
      </w:r>
      <w:r>
        <w:rPr>
          <w:spacing w:val="-2"/>
        </w:rPr>
        <w:t>signifikan </w:t>
      </w:r>
      <w:r>
        <w:rPr/>
        <w:t>antara pengetahuan dengan pengelolaan sampah rumah tangga (p=0,001). Responden dengan pengetahuan baik memiliki kecenderungan lebih besar untuk melakukan pengelolaan</w:t>
      </w:r>
      <w:r>
        <w:rPr>
          <w:spacing w:val="-14"/>
        </w:rPr>
        <w:t> </w:t>
      </w:r>
      <w:r>
        <w:rPr/>
        <w:t>sampah</w:t>
      </w:r>
      <w:r>
        <w:rPr>
          <w:spacing w:val="-14"/>
        </w:rPr>
        <w:t> </w:t>
      </w:r>
      <w:r>
        <w:rPr/>
        <w:t>secara</w:t>
      </w:r>
      <w:r>
        <w:rPr>
          <w:spacing w:val="-14"/>
        </w:rPr>
        <w:t> </w:t>
      </w:r>
      <w:r>
        <w:rPr/>
        <w:t>benar</w:t>
      </w:r>
      <w:r>
        <w:rPr>
          <w:spacing w:val="-13"/>
        </w:rPr>
        <w:t> </w:t>
      </w:r>
      <w:r>
        <w:rPr/>
        <w:t>dibandingkan dengan responden yang memiliki pengetahuan kurang. Pengetahuan yang baik berperan sebagai faktor yang memengaruhi seseorang dalam</w:t>
      </w:r>
      <w:r>
        <w:rPr>
          <w:spacing w:val="-5"/>
        </w:rPr>
        <w:t> </w:t>
      </w:r>
      <w:r>
        <w:rPr/>
        <w:t>mengambil</w:t>
      </w:r>
      <w:r>
        <w:rPr>
          <w:spacing w:val="-3"/>
        </w:rPr>
        <w:t> </w:t>
      </w:r>
      <w:r>
        <w:rPr/>
        <w:t>keputusan</w:t>
      </w:r>
      <w:r>
        <w:rPr>
          <w:spacing w:val="-4"/>
        </w:rPr>
        <w:t> </w:t>
      </w:r>
      <w:r>
        <w:rPr/>
        <w:t>untuk</w:t>
      </w:r>
      <w:r>
        <w:rPr>
          <w:spacing w:val="-4"/>
        </w:rPr>
        <w:t> </w:t>
      </w:r>
      <w:r>
        <w:rPr/>
        <w:t>berperilaku </w:t>
      </w:r>
      <w:r>
        <w:rPr>
          <w:spacing w:val="-2"/>
        </w:rPr>
        <w:t>sehat.</w:t>
      </w:r>
    </w:p>
    <w:p>
      <w:pPr>
        <w:pStyle w:val="BodyText"/>
        <w:spacing w:before="1"/>
        <w:ind w:right="159" w:firstLine="720"/>
      </w:pPr>
      <w:r>
        <w:rPr/>
        <w:t>Hasil penelitian ini sejalan dengan penelitian</w:t>
      </w:r>
      <w:r>
        <w:rPr>
          <w:spacing w:val="-10"/>
        </w:rPr>
        <w:t> </w:t>
      </w:r>
      <w:r>
        <w:rPr/>
        <w:t>Saipullah</w:t>
      </w:r>
      <w:r>
        <w:rPr>
          <w:spacing w:val="-10"/>
        </w:rPr>
        <w:t> </w:t>
      </w:r>
      <w:r>
        <w:rPr/>
        <w:t>dan</w:t>
      </w:r>
      <w:r>
        <w:rPr>
          <w:spacing w:val="-11"/>
        </w:rPr>
        <w:t> </w:t>
      </w:r>
      <w:r>
        <w:rPr/>
        <w:t>Muzaffar</w:t>
      </w:r>
      <w:r>
        <w:rPr>
          <w:spacing w:val="-10"/>
        </w:rPr>
        <w:t> </w:t>
      </w:r>
      <w:r>
        <w:rPr/>
        <w:t>(2023),</w:t>
      </w:r>
      <w:r>
        <w:rPr>
          <w:spacing w:val="-11"/>
        </w:rPr>
        <w:t> </w:t>
      </w:r>
      <w:r>
        <w:rPr/>
        <w:t>yang menunjukkan</w:t>
      </w:r>
      <w:r>
        <w:rPr>
          <w:spacing w:val="-14"/>
        </w:rPr>
        <w:t> </w:t>
      </w:r>
      <w:r>
        <w:rPr/>
        <w:t>bahwa</w:t>
      </w:r>
      <w:r>
        <w:rPr>
          <w:spacing w:val="-14"/>
        </w:rPr>
        <w:t> </w:t>
      </w:r>
      <w:r>
        <w:rPr/>
        <w:t>pengetahuan</w:t>
      </w:r>
      <w:r>
        <w:rPr>
          <w:spacing w:val="-14"/>
        </w:rPr>
        <w:t> </w:t>
      </w:r>
      <w:r>
        <w:rPr/>
        <w:t>berhubungan signifikan dengan perilaku atau pengelolaan sampah rumah tangga. Semakin baik pengetahuan masyarakat, semakin besar kemungkinan mereka melakukan pengelolaan sampah yang benar sehingga tidak menimbulkan berbagai permasalahan lingkungan. Hasil analisis diperoleh p-value = 0,004&lt;0,05. Hal ini menunjukkan adanya hubungan antara pengetahuan dengan perilaku ibu dalam mengelola sampah rumah tangga di Pantan Jerik Kecamatan Kute Panang Kabupaten Aceh Tengah.</w:t>
      </w:r>
    </w:p>
    <w:p>
      <w:pPr>
        <w:pStyle w:val="BodyText"/>
        <w:tabs>
          <w:tab w:pos="1618" w:val="left" w:leader="none"/>
          <w:tab w:pos="3212" w:val="left" w:leader="none"/>
        </w:tabs>
        <w:ind w:right="157" w:firstLine="720"/>
      </w:pPr>
      <w:r>
        <w:rPr/>
        <w:t>Hasil</w:t>
      </w:r>
      <w:r>
        <w:rPr>
          <w:spacing w:val="-13"/>
        </w:rPr>
        <w:t> </w:t>
      </w:r>
      <w:r>
        <w:rPr/>
        <w:t>tersebut</w:t>
      </w:r>
      <w:r>
        <w:rPr>
          <w:spacing w:val="-13"/>
        </w:rPr>
        <w:t> </w:t>
      </w:r>
      <w:r>
        <w:rPr/>
        <w:t>juga</w:t>
      </w:r>
      <w:r>
        <w:rPr>
          <w:spacing w:val="-12"/>
        </w:rPr>
        <w:t> </w:t>
      </w:r>
      <w:r>
        <w:rPr/>
        <w:t>didukung</w:t>
      </w:r>
      <w:r>
        <w:rPr>
          <w:spacing w:val="-12"/>
        </w:rPr>
        <w:t> </w:t>
      </w:r>
      <w:r>
        <w:rPr/>
        <w:t>penelitian yang</w:t>
      </w:r>
      <w:r>
        <w:rPr>
          <w:spacing w:val="-14"/>
        </w:rPr>
        <w:t> </w:t>
      </w:r>
      <w:r>
        <w:rPr/>
        <w:t>dilakukan</w:t>
      </w:r>
      <w:r>
        <w:rPr>
          <w:spacing w:val="-14"/>
        </w:rPr>
        <w:t> </w:t>
      </w:r>
      <w:r>
        <w:rPr/>
        <w:t>oleh</w:t>
      </w:r>
      <w:r>
        <w:rPr>
          <w:spacing w:val="-14"/>
        </w:rPr>
        <w:t> </w:t>
      </w:r>
      <w:r>
        <w:rPr/>
        <w:t>Munthe</w:t>
      </w:r>
      <w:r>
        <w:rPr>
          <w:spacing w:val="-13"/>
        </w:rPr>
        <w:t> </w:t>
      </w:r>
      <w:r>
        <w:rPr/>
        <w:t>et</w:t>
      </w:r>
      <w:r>
        <w:rPr>
          <w:spacing w:val="-14"/>
        </w:rPr>
        <w:t> </w:t>
      </w:r>
      <w:r>
        <w:rPr/>
        <w:t>al.,</w:t>
      </w:r>
      <w:r>
        <w:rPr>
          <w:spacing w:val="-14"/>
        </w:rPr>
        <w:t> </w:t>
      </w:r>
      <w:r>
        <w:rPr/>
        <w:t>(2022),</w:t>
      </w:r>
      <w:r>
        <w:rPr>
          <w:spacing w:val="-14"/>
        </w:rPr>
        <w:t> </w:t>
      </w:r>
      <w:r>
        <w:rPr/>
        <w:t>yang menemukan adanya hubungan yang signifikan antara pengetahuan ibu rumah tangga dengan pengelolaan</w:t>
      </w:r>
      <w:r>
        <w:rPr>
          <w:spacing w:val="-10"/>
        </w:rPr>
        <w:t> </w:t>
      </w:r>
      <w:r>
        <w:rPr/>
        <w:t>sampah</w:t>
      </w:r>
      <w:r>
        <w:rPr>
          <w:spacing w:val="-10"/>
        </w:rPr>
        <w:t> </w:t>
      </w:r>
      <w:r>
        <w:rPr/>
        <w:t>rumah</w:t>
      </w:r>
      <w:r>
        <w:rPr>
          <w:spacing w:val="-10"/>
        </w:rPr>
        <w:t> </w:t>
      </w:r>
      <w:r>
        <w:rPr/>
        <w:t>tangga</w:t>
      </w:r>
      <w:r>
        <w:rPr>
          <w:spacing w:val="-7"/>
        </w:rPr>
        <w:t> </w:t>
      </w:r>
      <w:r>
        <w:rPr/>
        <w:t>diperoleh</w:t>
      </w:r>
      <w:r>
        <w:rPr>
          <w:spacing w:val="-8"/>
        </w:rPr>
        <w:t> </w:t>
      </w:r>
      <w:r>
        <w:rPr/>
        <w:t>p-value = 0,032&lt;0,05. Penelitian tersebut menjelaskan bahwa responden yang memiliki pengetahuan yang baik cenderung lebih </w:t>
      </w:r>
      <w:r>
        <w:rPr>
          <w:spacing w:val="-2"/>
        </w:rPr>
        <w:t>memahami</w:t>
      </w:r>
      <w:r>
        <w:rPr/>
        <w:tab/>
      </w:r>
      <w:r>
        <w:rPr>
          <w:spacing w:val="-2"/>
        </w:rPr>
        <w:t>pentingnya</w:t>
      </w:r>
      <w:r>
        <w:rPr/>
        <w:tab/>
      </w:r>
      <w:r>
        <w:rPr>
          <w:spacing w:val="-2"/>
        </w:rPr>
        <w:t>pemilahan, </w:t>
      </w:r>
      <w:r>
        <w:rPr/>
        <w:t>pengumpulan, dan pembuangan sampah yang benar sehingga lebih mampu menerapkan pengelolaan sampah yang baik di lingkungan rumah tangga. Pengetahuan yang memadai dapat membentuk kesadaran seseorang terhadap dampak negatif sampah terhadap kesehatan</w:t>
      </w:r>
      <w:r>
        <w:rPr>
          <w:spacing w:val="-11"/>
        </w:rPr>
        <w:t> </w:t>
      </w:r>
      <w:r>
        <w:rPr/>
        <w:t>dan</w:t>
      </w:r>
      <w:r>
        <w:rPr>
          <w:spacing w:val="-13"/>
        </w:rPr>
        <w:t> </w:t>
      </w:r>
      <w:r>
        <w:rPr/>
        <w:t>lingkungan</w:t>
      </w:r>
      <w:r>
        <w:rPr>
          <w:spacing w:val="-13"/>
        </w:rPr>
        <w:t> </w:t>
      </w:r>
      <w:r>
        <w:rPr/>
        <w:t>sehingga</w:t>
      </w:r>
      <w:r>
        <w:rPr>
          <w:spacing w:val="-13"/>
        </w:rPr>
        <w:t> </w:t>
      </w:r>
      <w:r>
        <w:rPr/>
        <w:t>mendorong perilaku yang lebih bertanggung jawab dalam mengelola sampah.</w:t>
      </w:r>
    </w:p>
    <w:p>
      <w:pPr>
        <w:pStyle w:val="BodyText"/>
        <w:ind w:right="159" w:firstLine="720"/>
      </w:pPr>
      <w:r>
        <w:rPr/>
        <w:t>Menurut asumsi peneliti, adanya hubungan antara pengetahuan </w:t>
      </w:r>
      <w:r>
        <w:rPr/>
        <w:t>dengan pengelolaan sampah rumah tangga disebabkan oleh semakin baiknya pemahaman masyarakat mengenai dampak sampah terhadap kesehatan dan</w:t>
      </w:r>
      <w:r>
        <w:rPr>
          <w:spacing w:val="77"/>
        </w:rPr>
        <w:t> </w:t>
      </w:r>
      <w:r>
        <w:rPr/>
        <w:t>lingkungan.</w:t>
      </w:r>
      <w:r>
        <w:rPr>
          <w:spacing w:val="77"/>
        </w:rPr>
        <w:t> </w:t>
      </w:r>
      <w:r>
        <w:rPr/>
        <w:t>Masyarakat</w:t>
      </w:r>
      <w:r>
        <w:rPr>
          <w:spacing w:val="78"/>
        </w:rPr>
        <w:t> </w:t>
      </w:r>
      <w:r>
        <w:rPr/>
        <w:t>yang</w:t>
      </w:r>
      <w:r>
        <w:rPr>
          <w:spacing w:val="78"/>
        </w:rPr>
        <w:t> </w:t>
      </w:r>
      <w:r>
        <w:rPr>
          <w:spacing w:val="-2"/>
        </w:rPr>
        <w:t>memiliki</w:t>
      </w:r>
    </w:p>
    <w:p>
      <w:pPr>
        <w:pStyle w:val="BodyText"/>
        <w:spacing w:after="0"/>
        <w:sectPr>
          <w:pgSz w:w="11910" w:h="16840"/>
          <w:pgMar w:header="0" w:footer="2031" w:top="1340" w:bottom="2300" w:left="1417" w:right="1275"/>
          <w:cols w:num="2" w:equalWidth="0">
            <w:col w:w="4186" w:space="681"/>
            <w:col w:w="4351"/>
          </w:cols>
        </w:sectPr>
      </w:pPr>
    </w:p>
    <w:p>
      <w:pPr>
        <w:pStyle w:val="BodyText"/>
        <w:spacing w:before="80"/>
        <w:ind w:right="1"/>
      </w:pPr>
      <w:r>
        <w:rPr/>
        <w:t>pengetahuan yang baik cenderung </w:t>
      </w:r>
      <w:r>
        <w:rPr/>
        <w:t>mengetahui cara pengelolaan sampah yang benar, seperti membuang sampah pada tempatnya, mengetahui sampah organik adalah sampah yang dapat terurai, mengetahui bahwa tumpukan</w:t>
      </w:r>
      <w:r>
        <w:rPr>
          <w:spacing w:val="-14"/>
        </w:rPr>
        <w:t> </w:t>
      </w:r>
      <w:r>
        <w:rPr/>
        <w:t>sampah</w:t>
      </w:r>
      <w:r>
        <w:rPr>
          <w:spacing w:val="-14"/>
        </w:rPr>
        <w:t> </w:t>
      </w:r>
      <w:r>
        <w:rPr/>
        <w:t>menjadi</w:t>
      </w:r>
      <w:r>
        <w:rPr>
          <w:spacing w:val="-14"/>
        </w:rPr>
        <w:t> </w:t>
      </w:r>
      <w:r>
        <w:rPr/>
        <w:t>sarang</w:t>
      </w:r>
      <w:r>
        <w:rPr>
          <w:spacing w:val="-13"/>
        </w:rPr>
        <w:t> </w:t>
      </w:r>
      <w:r>
        <w:rPr/>
        <w:t>tikus,</w:t>
      </w:r>
      <w:r>
        <w:rPr>
          <w:spacing w:val="-14"/>
        </w:rPr>
        <w:t> </w:t>
      </w:r>
      <w:r>
        <w:rPr/>
        <w:t>kecoak dan nyamuk, maupun sumber pencemaran jika dibuang ke sungai.</w:t>
      </w:r>
    </w:p>
    <w:p>
      <w:pPr>
        <w:pStyle w:val="BodyText"/>
        <w:ind w:firstLine="719"/>
      </w:pPr>
      <w:r>
        <w:rPr/>
        <w:t>Sebaliknya,</w:t>
      </w:r>
      <w:r>
        <w:rPr>
          <w:spacing w:val="-14"/>
        </w:rPr>
        <w:t> </w:t>
      </w:r>
      <w:r>
        <w:rPr/>
        <w:t>masyarakat</w:t>
      </w:r>
      <w:r>
        <w:rPr>
          <w:spacing w:val="-14"/>
        </w:rPr>
        <w:t> </w:t>
      </w:r>
      <w:r>
        <w:rPr/>
        <w:t>dengan</w:t>
      </w:r>
      <w:r>
        <w:rPr>
          <w:spacing w:val="-14"/>
        </w:rPr>
        <w:t> </w:t>
      </w:r>
      <w:r>
        <w:rPr/>
        <w:t>tingkat pengetahuan kurang cenderung </w:t>
      </w:r>
      <w:r>
        <w:rPr/>
        <w:t>kurang memperhatikan pengelolaan sampah sehingga berpotensi melakukan pembuangan sampah secara sembarangan yang dapat menimbulkan pencemaran lingkungan dan gangguan kesehatan. Kondisi ini sejalan dengan teori Lawrence Green yang menyatakan bahwa pengetahuan merupakan salah satu faktor predisposisi, sedangkan terwujudnya perilaku secara utuh juga dipengaruhi oleh faktor pemungkin seperti ketersediaan sarana dan prasarana pengelolaan sampah.</w:t>
      </w:r>
    </w:p>
    <w:p>
      <w:pPr>
        <w:pStyle w:val="Heading2"/>
        <w:spacing w:before="122"/>
        <w:ind w:right="49"/>
      </w:pPr>
      <w:r>
        <w:rPr/>
        <w:t>Gambaran Sikap tentang Pengelolaan Sampah</w:t>
      </w:r>
      <w:r>
        <w:rPr>
          <w:spacing w:val="-9"/>
        </w:rPr>
        <w:t> </w:t>
      </w:r>
      <w:r>
        <w:rPr/>
        <w:t>Rumah</w:t>
      </w:r>
      <w:r>
        <w:rPr>
          <w:spacing w:val="-11"/>
        </w:rPr>
        <w:t> </w:t>
      </w:r>
      <w:r>
        <w:rPr/>
        <w:t>Tangga</w:t>
      </w:r>
      <w:r>
        <w:rPr>
          <w:spacing w:val="-13"/>
        </w:rPr>
        <w:t> </w:t>
      </w:r>
      <w:r>
        <w:rPr/>
        <w:t>Di</w:t>
      </w:r>
      <w:r>
        <w:rPr>
          <w:spacing w:val="-10"/>
        </w:rPr>
        <w:t> </w:t>
      </w:r>
      <w:r>
        <w:rPr/>
        <w:t>Kelurahan</w:t>
      </w:r>
      <w:r>
        <w:rPr>
          <w:spacing w:val="-11"/>
        </w:rPr>
        <w:t> </w:t>
      </w:r>
      <w:r>
        <w:rPr/>
        <w:t>Wek II Kota Padangsidimpuan Tahun 2026</w:t>
      </w:r>
    </w:p>
    <w:p>
      <w:pPr>
        <w:pStyle w:val="BodyText"/>
        <w:spacing w:before="120"/>
        <w:ind w:right="1" w:firstLine="719"/>
      </w:pPr>
      <w:r>
        <w:rPr/>
        <w:t>Berdasarkan hasil penelitian yang dilakukan</w:t>
      </w:r>
      <w:r>
        <w:rPr>
          <w:spacing w:val="-12"/>
        </w:rPr>
        <w:t> </w:t>
      </w:r>
      <w:r>
        <w:rPr/>
        <w:t>dengan</w:t>
      </w:r>
      <w:r>
        <w:rPr>
          <w:spacing w:val="-12"/>
        </w:rPr>
        <w:t> </w:t>
      </w:r>
      <w:r>
        <w:rPr/>
        <w:t>menggunakan</w:t>
      </w:r>
      <w:r>
        <w:rPr>
          <w:spacing w:val="-10"/>
        </w:rPr>
        <w:t> </w:t>
      </w:r>
      <w:r>
        <w:rPr/>
        <w:t>uji</w:t>
      </w:r>
      <w:r>
        <w:rPr>
          <w:spacing w:val="-11"/>
        </w:rPr>
        <w:t> </w:t>
      </w:r>
      <w:r>
        <w:rPr/>
        <w:t>Chi</w:t>
      </w:r>
      <w:r>
        <w:rPr>
          <w:spacing w:val="-9"/>
        </w:rPr>
        <w:t> </w:t>
      </w:r>
      <w:r>
        <w:rPr/>
        <w:t>Square diperoleh</w:t>
      </w:r>
      <w:r>
        <w:rPr>
          <w:spacing w:val="-14"/>
        </w:rPr>
        <w:t> </w:t>
      </w:r>
      <w:r>
        <w:rPr/>
        <w:t>nilai</w:t>
      </w:r>
      <w:r>
        <w:rPr>
          <w:spacing w:val="-14"/>
        </w:rPr>
        <w:t> </w:t>
      </w:r>
      <w:r>
        <w:rPr/>
        <w:t>p-value</w:t>
      </w:r>
      <w:r>
        <w:rPr>
          <w:spacing w:val="-14"/>
        </w:rPr>
        <w:t> </w:t>
      </w:r>
      <w:r>
        <w:rPr/>
        <w:t>sebesar</w:t>
      </w:r>
      <w:r>
        <w:rPr>
          <w:spacing w:val="-13"/>
        </w:rPr>
        <w:t> </w:t>
      </w:r>
      <w:r>
        <w:rPr/>
        <w:t>0,012</w:t>
      </w:r>
      <w:r>
        <w:rPr>
          <w:spacing w:val="-14"/>
        </w:rPr>
        <w:t> </w:t>
      </w:r>
      <w:r>
        <w:rPr/>
        <w:t>(p</w:t>
      </w:r>
      <w:r>
        <w:rPr>
          <w:spacing w:val="-14"/>
        </w:rPr>
        <w:t> </w:t>
      </w:r>
      <w:r>
        <w:rPr/>
        <w:t>&lt;</w:t>
      </w:r>
      <w:r>
        <w:rPr>
          <w:spacing w:val="-14"/>
        </w:rPr>
        <w:t> </w:t>
      </w:r>
      <w:r>
        <w:rPr/>
        <w:t>0,05), maka Ho ditolak dan Ha diterima yang menunjukkan bahwa terdapat hubungan </w:t>
      </w:r>
      <w:r>
        <w:rPr/>
        <w:t>yang signifikan antara sikap dengan pengelolaan sampah rumah tangga di Kelurahan Wek II Kota Padangsidimpuan Tahun 2026. Hasil ini sesuai dengan</w:t>
      </w:r>
      <w:r>
        <w:rPr>
          <w:spacing w:val="-2"/>
        </w:rPr>
        <w:t> </w:t>
      </w:r>
      <w:r>
        <w:rPr/>
        <w:t>teori</w:t>
      </w:r>
      <w:r>
        <w:rPr>
          <w:spacing w:val="-1"/>
        </w:rPr>
        <w:t> </w:t>
      </w:r>
      <w:r>
        <w:rPr/>
        <w:t>perilaku terencana</w:t>
      </w:r>
      <w:r>
        <w:rPr>
          <w:spacing w:val="-1"/>
        </w:rPr>
        <w:t> </w:t>
      </w:r>
      <w:r>
        <w:rPr/>
        <w:t>(Theory of Planned Behavior) yang dikemukakan oleh Ajzen (1991), yang menyatakan bahwa sikap merupakan salah satu prediktor utama intensi dan perilaku aktual seseorang (Ajzen, 1991).</w:t>
      </w:r>
    </w:p>
    <w:p>
      <w:pPr>
        <w:pStyle w:val="BodyText"/>
        <w:ind w:firstLine="719"/>
      </w:pPr>
      <w:r>
        <w:rPr/>
        <w:t>Sikap seseorang terhadap pengelolaan sampah diduga akan berpengaruh terhadap perilaku mengelola sampah. Semakin positif sikap seseorang tentang pengelolaan sampah biasanya</w:t>
      </w:r>
      <w:r>
        <w:rPr>
          <w:spacing w:val="-9"/>
        </w:rPr>
        <w:t> </w:t>
      </w:r>
      <w:r>
        <w:rPr/>
        <w:t>perilakunya</w:t>
      </w:r>
      <w:r>
        <w:rPr>
          <w:spacing w:val="-9"/>
        </w:rPr>
        <w:t> </w:t>
      </w:r>
      <w:r>
        <w:rPr/>
        <w:t>dalam</w:t>
      </w:r>
      <w:r>
        <w:rPr>
          <w:spacing w:val="-8"/>
        </w:rPr>
        <w:t> </w:t>
      </w:r>
      <w:r>
        <w:rPr/>
        <w:t>mengelola</w:t>
      </w:r>
      <w:r>
        <w:rPr>
          <w:spacing w:val="-9"/>
        </w:rPr>
        <w:t> </w:t>
      </w:r>
      <w:r>
        <w:rPr/>
        <w:t>sampah juga akan semakin baik, demikian pula sebaliknya.</w:t>
      </w:r>
      <w:r>
        <w:rPr>
          <w:spacing w:val="-14"/>
        </w:rPr>
        <w:t> </w:t>
      </w:r>
      <w:r>
        <w:rPr/>
        <w:t>Sikap</w:t>
      </w:r>
      <w:r>
        <w:rPr>
          <w:spacing w:val="-14"/>
        </w:rPr>
        <w:t> </w:t>
      </w:r>
      <w:r>
        <w:rPr/>
        <w:t>mempunyai</w:t>
      </w:r>
      <w:r>
        <w:rPr>
          <w:spacing w:val="-14"/>
        </w:rPr>
        <w:t> </w:t>
      </w:r>
      <w:r>
        <w:rPr/>
        <w:t>peranan</w:t>
      </w:r>
      <w:r>
        <w:rPr>
          <w:spacing w:val="-13"/>
        </w:rPr>
        <w:t> </w:t>
      </w:r>
      <w:r>
        <w:rPr/>
        <w:t>di</w:t>
      </w:r>
      <w:r>
        <w:rPr>
          <w:spacing w:val="-14"/>
        </w:rPr>
        <w:t> </w:t>
      </w:r>
      <w:r>
        <w:rPr/>
        <w:t>dalam pola-pola tingkah laku manusia yang merupakan pandangan atau perasaan </w:t>
      </w:r>
      <w:r>
        <w:rPr/>
        <w:t>yang disertai kecenderungan untuk bertindak terhadap suatu hal atau suatu obyek tertentu. Sikap ini dapat bersifat positif dan dapat pula bersifat</w:t>
      </w:r>
      <w:r>
        <w:rPr>
          <w:spacing w:val="61"/>
          <w:w w:val="150"/>
        </w:rPr>
        <w:t>  </w:t>
      </w:r>
      <w:r>
        <w:rPr/>
        <w:t>negatif.</w:t>
      </w:r>
      <w:r>
        <w:rPr>
          <w:spacing w:val="60"/>
          <w:w w:val="150"/>
        </w:rPr>
        <w:t>  </w:t>
      </w:r>
      <w:r>
        <w:rPr/>
        <w:t>Dalam</w:t>
      </w:r>
      <w:r>
        <w:rPr>
          <w:spacing w:val="61"/>
          <w:w w:val="150"/>
        </w:rPr>
        <w:t>  </w:t>
      </w:r>
      <w:r>
        <w:rPr/>
        <w:t>sikap</w:t>
      </w:r>
      <w:r>
        <w:rPr>
          <w:spacing w:val="61"/>
          <w:w w:val="150"/>
        </w:rPr>
        <w:t>  </w:t>
      </w:r>
      <w:r>
        <w:rPr>
          <w:spacing w:val="-2"/>
        </w:rPr>
        <w:t>positif,</w:t>
      </w:r>
    </w:p>
    <w:p>
      <w:pPr>
        <w:pStyle w:val="BodyText"/>
        <w:spacing w:before="80"/>
        <w:ind w:right="160"/>
      </w:pPr>
      <w:r>
        <w:rPr/>
        <w:br w:type="column"/>
      </w:r>
      <w:r>
        <w:rPr/>
        <w:t>kecenderungan tindakan adalah mendekati, menyenangi, mengharapkan obyek tertentu, sedangkan dalam sikap negatif, terdapat kecenderungan untuk menjauhi, menghindari, membenci, tidak menyukai obyek tertentu. Sikap seseorang terhadap suatu obyek adalah perasaan mendukung atau memihak </w:t>
      </w:r>
      <w:r>
        <w:rPr/>
        <w:t>maupun perasaan</w:t>
      </w:r>
      <w:r>
        <w:rPr>
          <w:spacing w:val="-5"/>
        </w:rPr>
        <w:t> </w:t>
      </w:r>
      <w:r>
        <w:rPr/>
        <w:t>tidak</w:t>
      </w:r>
      <w:r>
        <w:rPr>
          <w:spacing w:val="-5"/>
        </w:rPr>
        <w:t> </w:t>
      </w:r>
      <w:r>
        <w:rPr/>
        <w:t>mendukung</w:t>
      </w:r>
      <w:r>
        <w:rPr>
          <w:spacing w:val="-5"/>
        </w:rPr>
        <w:t> </w:t>
      </w:r>
      <w:r>
        <w:rPr/>
        <w:t>atau</w:t>
      </w:r>
      <w:r>
        <w:rPr>
          <w:spacing w:val="-5"/>
        </w:rPr>
        <w:t> </w:t>
      </w:r>
      <w:r>
        <w:rPr/>
        <w:t>tidak</w:t>
      </w:r>
      <w:r>
        <w:rPr>
          <w:spacing w:val="-5"/>
        </w:rPr>
        <w:t> </w:t>
      </w:r>
      <w:r>
        <w:rPr/>
        <w:t>memihak pada</w:t>
      </w:r>
      <w:r>
        <w:rPr>
          <w:spacing w:val="-14"/>
        </w:rPr>
        <w:t> </w:t>
      </w:r>
      <w:r>
        <w:rPr/>
        <w:t>obyek</w:t>
      </w:r>
      <w:r>
        <w:rPr>
          <w:spacing w:val="-14"/>
        </w:rPr>
        <w:t> </w:t>
      </w:r>
      <w:r>
        <w:rPr/>
        <w:t>tersebut</w:t>
      </w:r>
      <w:r>
        <w:rPr>
          <w:spacing w:val="-14"/>
        </w:rPr>
        <w:t> </w:t>
      </w:r>
      <w:r>
        <w:rPr/>
        <w:t>(Yonathan</w:t>
      </w:r>
      <w:r>
        <w:rPr>
          <w:spacing w:val="-13"/>
        </w:rPr>
        <w:t> </w:t>
      </w:r>
      <w:r>
        <w:rPr/>
        <w:t>Suryo</w:t>
      </w:r>
      <w:r>
        <w:rPr>
          <w:spacing w:val="-14"/>
        </w:rPr>
        <w:t> </w:t>
      </w:r>
      <w:r>
        <w:rPr/>
        <w:t>Pambudi, </w:t>
      </w:r>
      <w:r>
        <w:rPr>
          <w:spacing w:val="-2"/>
        </w:rPr>
        <w:t>2017).</w:t>
      </w:r>
    </w:p>
    <w:p>
      <w:pPr>
        <w:pStyle w:val="BodyText"/>
        <w:tabs>
          <w:tab w:pos="1688" w:val="left" w:leader="none"/>
          <w:tab w:pos="3387" w:val="left" w:leader="none"/>
        </w:tabs>
        <w:ind w:right="159" w:firstLine="720"/>
      </w:pPr>
      <w:r>
        <w:rPr/>
        <w:t>Penelitian yang dilakukan oleh Akbar et al. (2021), di Desa Muntoi Kabupaten Bolaang Mongondow memperoleh hasil yang senada, di mana sikap masyarakat terbukti berhubungan secara signifikan dengan pengelolaan sampah rumah tangga (p=0,037). Responden dengan sikap positif terhadap </w:t>
      </w:r>
      <w:r>
        <w:rPr>
          <w:spacing w:val="-2"/>
        </w:rPr>
        <w:t>kebersihan</w:t>
      </w:r>
      <w:r>
        <w:rPr/>
        <w:tab/>
      </w:r>
      <w:r>
        <w:rPr>
          <w:spacing w:val="-2"/>
        </w:rPr>
        <w:t>lingkungan</w:t>
      </w:r>
      <w:r>
        <w:rPr/>
        <w:tab/>
      </w:r>
      <w:r>
        <w:rPr>
          <w:spacing w:val="-2"/>
        </w:rPr>
        <w:t>memiliki </w:t>
      </w:r>
      <w:r>
        <w:rPr/>
        <w:t>kecenderungan yang lebih besar untuk melakukan pengelolaan sampah yang baik. Penelitian tersebut menegaskan bahwa intervensi yang ditujukan untuk membentuk sikap positif masyarakat terhadap pengelolaan sampah perlu dilakukan secara sistematis dan </w:t>
      </w:r>
      <w:r>
        <w:rPr>
          <w:spacing w:val="-2"/>
        </w:rPr>
        <w:t>terprogram.</w:t>
      </w:r>
    </w:p>
    <w:p>
      <w:pPr>
        <w:pStyle w:val="BodyText"/>
        <w:spacing w:before="1"/>
        <w:ind w:right="159" w:firstLine="720"/>
      </w:pPr>
      <w:r>
        <w:rPr/>
        <w:t>Hasil penelitian ini sejalan dengan penelitian yang dilakukan oleh Seri Asnawati Munthe (2022), yang menunjukkan bahwa terdapat</w:t>
      </w:r>
      <w:r>
        <w:rPr>
          <w:spacing w:val="-5"/>
        </w:rPr>
        <w:t> </w:t>
      </w:r>
      <w:r>
        <w:rPr/>
        <w:t>hubungan</w:t>
      </w:r>
      <w:r>
        <w:rPr>
          <w:spacing w:val="-8"/>
        </w:rPr>
        <w:t> </w:t>
      </w:r>
      <w:r>
        <w:rPr/>
        <w:t>yang</w:t>
      </w:r>
      <w:r>
        <w:rPr>
          <w:spacing w:val="-8"/>
        </w:rPr>
        <w:t> </w:t>
      </w:r>
      <w:r>
        <w:rPr/>
        <w:t>signifikan</w:t>
      </w:r>
      <w:r>
        <w:rPr>
          <w:spacing w:val="-8"/>
        </w:rPr>
        <w:t> </w:t>
      </w:r>
      <w:r>
        <w:rPr/>
        <w:t>antara</w:t>
      </w:r>
      <w:r>
        <w:rPr>
          <w:spacing w:val="-6"/>
        </w:rPr>
        <w:t> </w:t>
      </w:r>
      <w:r>
        <w:rPr/>
        <w:t>sikap dengan pengelolaan sampah rumah tangga p-value sebesar 0,004 (p &lt; 0,05). Penelitian tersebut menjelaskan bahwa responden yang memiliki sikap positif terhadap pengelolaan sampah cenderung lebih aktif dalam menjaga kebersihan lingkungan, melakukan pemilahan sampah, serta membuang sampah pada tempat yang telah disediakan. Sikap positif tersebut muncul karena adanya kesadaran akan pentingnya lingkungan yang bersih dan sehat bagi kehidupan masyarakat.</w:t>
      </w:r>
    </w:p>
    <w:p>
      <w:pPr>
        <w:pStyle w:val="BodyText"/>
        <w:ind w:right="158" w:firstLine="720"/>
      </w:pPr>
      <w:r>
        <w:rPr/>
        <w:t>Penelitian ini juga didukung oleh penelitian Saipullah, Muzaffar (2023), yang menemukan adanya hubungan yang bermakna antara sikap dengan perilaku pengelolaan sampah rumah tangga diperoleh p-value sebesar 0,003 (p &lt; 0,05). Hasil penelitian tersebut menunjukkan bahwa responden yang memiliki</w:t>
      </w:r>
      <w:r>
        <w:rPr>
          <w:spacing w:val="-2"/>
        </w:rPr>
        <w:t> </w:t>
      </w:r>
      <w:r>
        <w:rPr/>
        <w:t>sikap</w:t>
      </w:r>
      <w:r>
        <w:rPr>
          <w:spacing w:val="-1"/>
        </w:rPr>
        <w:t> </w:t>
      </w:r>
      <w:r>
        <w:rPr/>
        <w:t>positif</w:t>
      </w:r>
      <w:r>
        <w:rPr>
          <w:spacing w:val="-1"/>
        </w:rPr>
        <w:t> </w:t>
      </w:r>
      <w:r>
        <w:rPr/>
        <w:t>lebih</w:t>
      </w:r>
      <w:r>
        <w:rPr>
          <w:spacing w:val="-3"/>
        </w:rPr>
        <w:t> </w:t>
      </w:r>
      <w:r>
        <w:rPr/>
        <w:t>banyak</w:t>
      </w:r>
      <w:r>
        <w:rPr>
          <w:spacing w:val="-3"/>
        </w:rPr>
        <w:t> </w:t>
      </w:r>
      <w:r>
        <w:rPr/>
        <w:t>melakukan pengelolaan sampah yang baik dibandingkan responden yang memiliki sikap negatif. Sikap yang</w:t>
      </w:r>
      <w:r>
        <w:rPr>
          <w:spacing w:val="39"/>
        </w:rPr>
        <w:t> </w:t>
      </w:r>
      <w:r>
        <w:rPr/>
        <w:t>positif</w:t>
      </w:r>
      <w:r>
        <w:rPr>
          <w:spacing w:val="37"/>
        </w:rPr>
        <w:t> </w:t>
      </w:r>
      <w:r>
        <w:rPr/>
        <w:t>mendorong</w:t>
      </w:r>
      <w:r>
        <w:rPr>
          <w:spacing w:val="39"/>
        </w:rPr>
        <w:t> </w:t>
      </w:r>
      <w:r>
        <w:rPr/>
        <w:t>individu</w:t>
      </w:r>
      <w:r>
        <w:rPr>
          <w:spacing w:val="39"/>
        </w:rPr>
        <w:t> </w:t>
      </w:r>
      <w:r>
        <w:rPr/>
        <w:t>untuk</w:t>
      </w:r>
      <w:r>
        <w:rPr>
          <w:spacing w:val="40"/>
        </w:rPr>
        <w:t> </w:t>
      </w:r>
      <w:r>
        <w:rPr>
          <w:spacing w:val="-4"/>
        </w:rPr>
        <w:t>lebih</w:t>
      </w:r>
    </w:p>
    <w:p>
      <w:pPr>
        <w:pStyle w:val="BodyText"/>
        <w:spacing w:after="0"/>
        <w:sectPr>
          <w:pgSz w:w="11910" w:h="16840"/>
          <w:pgMar w:header="0" w:footer="2031" w:top="1340" w:bottom="2300" w:left="1417" w:right="1275"/>
          <w:cols w:num="2" w:equalWidth="0">
            <w:col w:w="4186" w:space="682"/>
            <w:col w:w="4350"/>
          </w:cols>
        </w:sectPr>
      </w:pPr>
    </w:p>
    <w:p>
      <w:pPr>
        <w:pStyle w:val="BodyText"/>
        <w:spacing w:before="80"/>
        <w:ind w:right="1"/>
      </w:pPr>
      <w:r>
        <w:rPr/>
        <w:t>bertanggung jawab terhadap sampah yang dihasilkan serta lebih termotivasi untuk berpartisipasi dalam kegiatan menjaga kebersihan lingkungan.</w:t>
      </w:r>
    </w:p>
    <w:p>
      <w:pPr>
        <w:pStyle w:val="BodyText"/>
        <w:spacing w:before="1"/>
        <w:ind w:firstLine="719"/>
      </w:pPr>
      <w:r>
        <w:rPr/>
        <w:t>Selain itu penelitian ini sejalan</w:t>
      </w:r>
      <w:r>
        <w:rPr>
          <w:spacing w:val="-2"/>
        </w:rPr>
        <w:t> </w:t>
      </w:r>
      <w:r>
        <w:rPr/>
        <w:t>dengan penelitian yang dilakukan oleh</w:t>
      </w:r>
      <w:r>
        <w:rPr>
          <w:spacing w:val="40"/>
        </w:rPr>
        <w:t> </w:t>
      </w:r>
      <w:r>
        <w:rPr/>
        <w:t>Rizkiyati (2019), terdapat hubungan yang bermakna antara</w:t>
      </w:r>
      <w:r>
        <w:rPr>
          <w:spacing w:val="-14"/>
        </w:rPr>
        <w:t> </w:t>
      </w:r>
      <w:r>
        <w:rPr/>
        <w:t>sikap</w:t>
      </w:r>
      <w:r>
        <w:rPr>
          <w:spacing w:val="-14"/>
        </w:rPr>
        <w:t> </w:t>
      </w:r>
      <w:r>
        <w:rPr/>
        <w:t>dengan</w:t>
      </w:r>
      <w:r>
        <w:rPr>
          <w:spacing w:val="-14"/>
        </w:rPr>
        <w:t> </w:t>
      </w:r>
      <w:r>
        <w:rPr/>
        <w:t>sistem</w:t>
      </w:r>
      <w:r>
        <w:rPr>
          <w:spacing w:val="-13"/>
        </w:rPr>
        <w:t> </w:t>
      </w:r>
      <w:r>
        <w:rPr/>
        <w:t>pengelolaan</w:t>
      </w:r>
      <w:r>
        <w:rPr>
          <w:spacing w:val="-14"/>
        </w:rPr>
        <w:t> </w:t>
      </w:r>
      <w:r>
        <w:rPr/>
        <w:t>sampah dengan p value 0,004 (p&lt;0,05). Ini berarti semakin positif sikap masyarakat tentang pengelolaan sampah maka semakin baik pula pengelolaan sampah.</w:t>
      </w:r>
    </w:p>
    <w:p>
      <w:pPr>
        <w:pStyle w:val="BodyText"/>
        <w:ind w:firstLine="719"/>
      </w:pPr>
      <w:r>
        <w:rPr/>
        <w:t>Menurut asumsi peneliti, adanya hubungan antara sikap dengan pengelolaan sampah rumah tangga disebabkan oleh adanya kesadaran</w:t>
      </w:r>
      <w:r>
        <w:rPr>
          <w:spacing w:val="-4"/>
        </w:rPr>
        <w:t> </w:t>
      </w:r>
      <w:r>
        <w:rPr/>
        <w:t>dan</w:t>
      </w:r>
      <w:r>
        <w:rPr>
          <w:spacing w:val="-5"/>
        </w:rPr>
        <w:t> </w:t>
      </w:r>
      <w:r>
        <w:rPr/>
        <w:t>kepedulian</w:t>
      </w:r>
      <w:r>
        <w:rPr>
          <w:spacing w:val="-7"/>
        </w:rPr>
        <w:t> </w:t>
      </w:r>
      <w:r>
        <w:rPr/>
        <w:t>masyarakat</w:t>
      </w:r>
      <w:r>
        <w:rPr>
          <w:spacing w:val="-3"/>
        </w:rPr>
        <w:t> </w:t>
      </w:r>
      <w:r>
        <w:rPr/>
        <w:t>terhadap pentingnya menjaga kebersihan lingkungan. Masyarakat yang memiliki sikap positif cenderung lebih bertanggung jawab dalam mengelola sampah rumah tangga, seperti menyediakan tempat sampah dam membuang sampah pada tempatnya, menggunakan kembali barang yang tidak berguna dan membeli bahan kemasan isi ulang untuk mengurangi</w:t>
      </w:r>
      <w:r>
        <w:rPr>
          <w:spacing w:val="-10"/>
        </w:rPr>
        <w:t> </w:t>
      </w:r>
      <w:r>
        <w:rPr/>
        <w:t>sampah</w:t>
      </w:r>
      <w:r>
        <w:rPr>
          <w:spacing w:val="-10"/>
        </w:rPr>
        <w:t> </w:t>
      </w:r>
      <w:r>
        <w:rPr/>
        <w:t>rumah</w:t>
      </w:r>
      <w:r>
        <w:rPr>
          <w:spacing w:val="-13"/>
        </w:rPr>
        <w:t> </w:t>
      </w:r>
      <w:r>
        <w:rPr/>
        <w:t>tangga.</w:t>
      </w:r>
      <w:r>
        <w:rPr>
          <w:spacing w:val="-10"/>
        </w:rPr>
        <w:t> </w:t>
      </w:r>
      <w:r>
        <w:rPr/>
        <w:t>Sedangkan, masyarakat yang memiliki sikap negatif cenderung kurang peduli terhadap dampak yang ditimbulkan oleh sampah sehingga pengelolaan sampah yang dilakukan menjadi kurang baik.</w:t>
      </w:r>
    </w:p>
    <w:p>
      <w:pPr>
        <w:pStyle w:val="Heading2"/>
        <w:numPr>
          <w:ilvl w:val="0"/>
          <w:numId w:val="1"/>
        </w:numPr>
        <w:tabs>
          <w:tab w:pos="450" w:val="left" w:leader="none"/>
        </w:tabs>
        <w:spacing w:line="240" w:lineRule="auto" w:before="120" w:after="0"/>
        <w:ind w:left="450" w:right="0" w:hanging="427"/>
        <w:jc w:val="left"/>
        <w:rPr>
          <w:sz w:val="24"/>
        </w:rPr>
      </w:pPr>
      <w:r>
        <w:rPr/>
        <w:t>KESIMPULAN</w:t>
      </w:r>
      <w:r>
        <w:rPr>
          <w:spacing w:val="-3"/>
        </w:rPr>
        <w:t> </w:t>
      </w:r>
      <w:r>
        <w:rPr/>
        <w:t>DAN</w:t>
      </w:r>
      <w:r>
        <w:rPr>
          <w:spacing w:val="-3"/>
        </w:rPr>
        <w:t> </w:t>
      </w:r>
      <w:r>
        <w:rPr>
          <w:spacing w:val="-4"/>
        </w:rPr>
        <w:t>SARAN</w:t>
      </w:r>
    </w:p>
    <w:p>
      <w:pPr>
        <w:spacing w:before="117"/>
        <w:ind w:left="23" w:right="0" w:firstLine="0"/>
        <w:jc w:val="left"/>
        <w:rPr>
          <w:b/>
          <w:sz w:val="22"/>
        </w:rPr>
      </w:pPr>
      <w:r>
        <w:rPr>
          <w:b/>
          <w:spacing w:val="-2"/>
          <w:sz w:val="22"/>
        </w:rPr>
        <w:t>Kesimpulan</w:t>
      </w:r>
    </w:p>
    <w:p>
      <w:pPr>
        <w:pStyle w:val="BodyText"/>
        <w:spacing w:before="119"/>
        <w:ind w:firstLine="360"/>
      </w:pPr>
      <w:r>
        <w:rPr/>
        <w:t>Berdasarkan hasil penelitian mengenai hubungan</w:t>
      </w:r>
      <w:r>
        <w:rPr>
          <w:spacing w:val="-14"/>
        </w:rPr>
        <w:t> </w:t>
      </w:r>
      <w:r>
        <w:rPr/>
        <w:t>antara</w:t>
      </w:r>
      <w:r>
        <w:rPr>
          <w:spacing w:val="-14"/>
        </w:rPr>
        <w:t> </w:t>
      </w:r>
      <w:r>
        <w:rPr/>
        <w:t>pengetahuan</w:t>
      </w:r>
      <w:r>
        <w:rPr>
          <w:spacing w:val="-14"/>
        </w:rPr>
        <w:t> </w:t>
      </w:r>
      <w:r>
        <w:rPr/>
        <w:t>dan</w:t>
      </w:r>
      <w:r>
        <w:rPr>
          <w:spacing w:val="-13"/>
        </w:rPr>
        <w:t> </w:t>
      </w:r>
      <w:r>
        <w:rPr/>
        <w:t>sikap</w:t>
      </w:r>
      <w:r>
        <w:rPr>
          <w:spacing w:val="-14"/>
        </w:rPr>
        <w:t> </w:t>
      </w:r>
      <w:r>
        <w:rPr/>
        <w:t>dengan pengelolaan sampah rumah tangga di Kelurahan Wek II Kota Padangsidimpuan Tahun 2026, maka dapat disimpulkan sebagai </w:t>
      </w:r>
      <w:r>
        <w:rPr>
          <w:spacing w:val="-2"/>
        </w:rPr>
        <w:t>berikut:</w:t>
      </w:r>
    </w:p>
    <w:p>
      <w:pPr>
        <w:pStyle w:val="ListParagraph"/>
        <w:numPr>
          <w:ilvl w:val="0"/>
          <w:numId w:val="2"/>
        </w:numPr>
        <w:tabs>
          <w:tab w:pos="450" w:val="left" w:leader="none"/>
        </w:tabs>
        <w:spacing w:line="240" w:lineRule="auto" w:before="0" w:after="0"/>
        <w:ind w:left="450" w:right="1" w:hanging="360"/>
        <w:jc w:val="both"/>
        <w:rPr>
          <w:sz w:val="22"/>
        </w:rPr>
      </w:pPr>
      <w:r>
        <w:rPr>
          <w:sz w:val="22"/>
        </w:rPr>
        <w:t>Mayoritas responden memiliki tingkat pengetahuan yang baik yaitu sebanyak 50 orang (55,6%).</w:t>
      </w:r>
    </w:p>
    <w:p>
      <w:pPr>
        <w:pStyle w:val="ListParagraph"/>
        <w:numPr>
          <w:ilvl w:val="0"/>
          <w:numId w:val="2"/>
        </w:numPr>
        <w:tabs>
          <w:tab w:pos="450" w:val="left" w:leader="none"/>
        </w:tabs>
        <w:spacing w:line="240" w:lineRule="auto" w:before="0" w:after="0"/>
        <w:ind w:left="450" w:right="2" w:hanging="360"/>
        <w:jc w:val="both"/>
        <w:rPr>
          <w:sz w:val="22"/>
        </w:rPr>
      </w:pPr>
      <w:r>
        <w:rPr>
          <w:sz w:val="22"/>
        </w:rPr>
        <w:t>Mayoritas responden menunjukkan sikap yang positif yaitu sebanyak 56 orang </w:t>
      </w:r>
      <w:r>
        <w:rPr>
          <w:spacing w:val="-2"/>
          <w:sz w:val="22"/>
        </w:rPr>
        <w:t>(62,2%).</w:t>
      </w:r>
    </w:p>
    <w:p>
      <w:pPr>
        <w:pStyle w:val="ListParagraph"/>
        <w:numPr>
          <w:ilvl w:val="0"/>
          <w:numId w:val="2"/>
        </w:numPr>
        <w:tabs>
          <w:tab w:pos="450" w:val="left" w:leader="none"/>
        </w:tabs>
        <w:spacing w:line="240" w:lineRule="auto" w:before="1" w:after="0"/>
        <w:ind w:left="450" w:right="0" w:hanging="360"/>
        <w:jc w:val="both"/>
        <w:rPr>
          <w:sz w:val="22"/>
        </w:rPr>
      </w:pPr>
      <w:r>
        <w:rPr>
          <w:sz w:val="22"/>
        </w:rPr>
        <w:t>Terdapat ada hubungan yang signifikan antara tingkat pengetahuan dengan pengelolaan sampah, yang dibuktikan dengan uji statistik menggunakan uji Chi-Square diperoleh p-value</w:t>
      </w:r>
      <w:r>
        <w:rPr>
          <w:spacing w:val="40"/>
          <w:sz w:val="22"/>
        </w:rPr>
        <w:t> </w:t>
      </w:r>
      <w:r>
        <w:rPr>
          <w:sz w:val="22"/>
        </w:rPr>
        <w:t>= 0,001 (p &lt; </w:t>
      </w:r>
      <w:r>
        <w:rPr>
          <w:spacing w:val="-2"/>
          <w:sz w:val="22"/>
        </w:rPr>
        <w:t>0,05).</w:t>
      </w:r>
    </w:p>
    <w:p>
      <w:pPr>
        <w:pStyle w:val="ListParagraph"/>
        <w:numPr>
          <w:ilvl w:val="0"/>
          <w:numId w:val="2"/>
        </w:numPr>
        <w:tabs>
          <w:tab w:pos="449" w:val="left" w:leader="none"/>
          <w:tab w:pos="451" w:val="left" w:leader="none"/>
        </w:tabs>
        <w:spacing w:line="240" w:lineRule="auto" w:before="80" w:after="0"/>
        <w:ind w:left="451" w:right="157" w:hanging="361"/>
        <w:jc w:val="both"/>
        <w:rPr>
          <w:sz w:val="22"/>
        </w:rPr>
      </w:pPr>
      <w:r>
        <w:rPr/>
        <w:br w:type="column"/>
      </w:r>
      <w:r>
        <w:rPr>
          <w:sz w:val="22"/>
        </w:rPr>
        <w:t>Terdapat ada hubungan yang signifikan antara sikap dengan pengelolaan sampah, yang dibuktikan dengan uji statistik menggunakan</w:t>
      </w:r>
      <w:r>
        <w:rPr>
          <w:spacing w:val="-12"/>
          <w:sz w:val="22"/>
        </w:rPr>
        <w:t> </w:t>
      </w:r>
      <w:r>
        <w:rPr>
          <w:sz w:val="22"/>
        </w:rPr>
        <w:t>uji</w:t>
      </w:r>
      <w:r>
        <w:rPr>
          <w:spacing w:val="-11"/>
          <w:sz w:val="22"/>
        </w:rPr>
        <w:t> </w:t>
      </w:r>
      <w:r>
        <w:rPr>
          <w:sz w:val="22"/>
        </w:rPr>
        <w:t>Chi-</w:t>
      </w:r>
      <w:r>
        <w:rPr>
          <w:spacing w:val="-11"/>
          <w:sz w:val="22"/>
        </w:rPr>
        <w:t> </w:t>
      </w:r>
      <w:r>
        <w:rPr>
          <w:sz w:val="22"/>
        </w:rPr>
        <w:t>Square</w:t>
      </w:r>
      <w:r>
        <w:rPr>
          <w:spacing w:val="-12"/>
          <w:sz w:val="22"/>
        </w:rPr>
        <w:t> </w:t>
      </w:r>
      <w:r>
        <w:rPr>
          <w:sz w:val="22"/>
        </w:rPr>
        <w:t>diperoleh</w:t>
      </w:r>
      <w:r>
        <w:rPr>
          <w:spacing w:val="-12"/>
          <w:sz w:val="22"/>
        </w:rPr>
        <w:t> </w:t>
      </w:r>
      <w:r>
        <w:rPr>
          <w:sz w:val="22"/>
        </w:rPr>
        <w:t>p-value = 0,012 (p &lt; 0,05).</w:t>
      </w:r>
    </w:p>
    <w:p>
      <w:pPr>
        <w:pStyle w:val="Heading2"/>
        <w:spacing w:before="3"/>
        <w:jc w:val="left"/>
      </w:pPr>
      <w:r>
        <w:rPr>
          <w:spacing w:val="-2"/>
        </w:rPr>
        <w:t>Saran</w:t>
      </w:r>
    </w:p>
    <w:p>
      <w:pPr>
        <w:pStyle w:val="BodyText"/>
        <w:spacing w:before="116"/>
        <w:ind w:right="161" w:firstLine="566"/>
      </w:pPr>
      <w:r>
        <w:rPr/>
        <w:t>Berdasarkan kesimpulan maka saran yang diberikan sehubungan dengan penelitian adalah :</w:t>
      </w:r>
    </w:p>
    <w:p>
      <w:pPr>
        <w:pStyle w:val="ListParagraph"/>
        <w:numPr>
          <w:ilvl w:val="1"/>
          <w:numId w:val="2"/>
        </w:numPr>
        <w:tabs>
          <w:tab w:pos="742" w:val="left" w:leader="none"/>
        </w:tabs>
        <w:spacing w:line="240" w:lineRule="auto" w:before="125" w:after="0"/>
        <w:ind w:left="742" w:right="0" w:hanging="359"/>
        <w:jc w:val="both"/>
        <w:rPr>
          <w:sz w:val="22"/>
        </w:rPr>
      </w:pPr>
      <w:r>
        <w:rPr>
          <w:sz w:val="22"/>
        </w:rPr>
        <w:t>Bagi</w:t>
      </w:r>
      <w:r>
        <w:rPr>
          <w:spacing w:val="-14"/>
          <w:sz w:val="22"/>
        </w:rPr>
        <w:t> </w:t>
      </w:r>
      <w:r>
        <w:rPr>
          <w:sz w:val="22"/>
        </w:rPr>
        <w:t>Tempat</w:t>
      </w:r>
      <w:r>
        <w:rPr>
          <w:spacing w:val="-9"/>
          <w:sz w:val="22"/>
        </w:rPr>
        <w:t> </w:t>
      </w:r>
      <w:r>
        <w:rPr>
          <w:spacing w:val="-2"/>
          <w:sz w:val="22"/>
        </w:rPr>
        <w:t>Penelitian</w:t>
      </w:r>
    </w:p>
    <w:p>
      <w:pPr>
        <w:pStyle w:val="BodyText"/>
        <w:spacing w:before="116"/>
        <w:ind w:left="383" w:right="159" w:firstLine="360"/>
      </w:pPr>
      <w:r>
        <w:rPr/>
        <w:t>Hasil dari penelitian ini diharapkan mendukung program pengelolaan sampah berbasis masyarakat seperti penyediaan bank sampah agar melakukan pemilahan sampah dan edukasi maupun penyuluhan pengelolaan sampah yang dilakukan oleh pemerintah, puskesmas maupun dinas lingkungan hidup.</w:t>
      </w:r>
    </w:p>
    <w:p>
      <w:pPr>
        <w:pStyle w:val="ListParagraph"/>
        <w:numPr>
          <w:ilvl w:val="1"/>
          <w:numId w:val="2"/>
        </w:numPr>
        <w:tabs>
          <w:tab w:pos="742" w:val="left" w:leader="none"/>
        </w:tabs>
        <w:spacing w:line="240" w:lineRule="auto" w:before="122" w:after="0"/>
        <w:ind w:left="742" w:right="0" w:hanging="359"/>
        <w:jc w:val="both"/>
        <w:rPr>
          <w:sz w:val="22"/>
        </w:rPr>
      </w:pPr>
      <w:r>
        <w:rPr>
          <w:sz w:val="22"/>
        </w:rPr>
        <w:t>Bagi</w:t>
      </w:r>
      <w:r>
        <w:rPr>
          <w:spacing w:val="-2"/>
          <w:sz w:val="22"/>
        </w:rPr>
        <w:t> Masyarakat</w:t>
      </w:r>
    </w:p>
    <w:p>
      <w:pPr>
        <w:pStyle w:val="BodyText"/>
        <w:spacing w:before="120"/>
        <w:ind w:left="383" w:right="160" w:firstLine="360"/>
      </w:pPr>
      <w:r>
        <w:rPr/>
        <w:t>Diharapkan masyarakat tidak hanya memahami pentingnya pengelolaan sampah, tetapi juga menerapkannya demi mewujudkan</w:t>
      </w:r>
      <w:r>
        <w:rPr>
          <w:spacing w:val="-13"/>
        </w:rPr>
        <w:t> </w:t>
      </w:r>
      <w:r>
        <w:rPr/>
        <w:t>lingkungan</w:t>
      </w:r>
      <w:r>
        <w:rPr>
          <w:spacing w:val="-13"/>
        </w:rPr>
        <w:t> </w:t>
      </w:r>
      <w:r>
        <w:rPr/>
        <w:t>yang</w:t>
      </w:r>
      <w:r>
        <w:rPr>
          <w:spacing w:val="-11"/>
        </w:rPr>
        <w:t> </w:t>
      </w:r>
      <w:r>
        <w:rPr/>
        <w:t>sehat</w:t>
      </w:r>
      <w:r>
        <w:rPr>
          <w:spacing w:val="-12"/>
        </w:rPr>
        <w:t> </w:t>
      </w:r>
      <w:r>
        <w:rPr/>
        <w:t>seperti mengolah sampah organik menjadi </w:t>
      </w:r>
      <w:r>
        <w:rPr>
          <w:spacing w:val="-2"/>
        </w:rPr>
        <w:t>kompos.</w:t>
      </w:r>
    </w:p>
    <w:p>
      <w:pPr>
        <w:pStyle w:val="ListParagraph"/>
        <w:numPr>
          <w:ilvl w:val="1"/>
          <w:numId w:val="2"/>
        </w:numPr>
        <w:tabs>
          <w:tab w:pos="742" w:val="left" w:leader="none"/>
        </w:tabs>
        <w:spacing w:line="240" w:lineRule="auto" w:before="121" w:after="0"/>
        <w:ind w:left="742" w:right="0" w:hanging="359"/>
        <w:jc w:val="both"/>
        <w:rPr>
          <w:sz w:val="22"/>
        </w:rPr>
      </w:pPr>
      <w:r>
        <w:rPr>
          <w:sz w:val="22"/>
        </w:rPr>
        <w:t>Bagi</w:t>
      </w:r>
      <w:r>
        <w:rPr>
          <w:spacing w:val="-3"/>
          <w:sz w:val="22"/>
        </w:rPr>
        <w:t> </w:t>
      </w:r>
      <w:r>
        <w:rPr>
          <w:sz w:val="22"/>
        </w:rPr>
        <w:t>Peneliti</w:t>
      </w:r>
      <w:r>
        <w:rPr>
          <w:spacing w:val="-3"/>
          <w:sz w:val="22"/>
        </w:rPr>
        <w:t> </w:t>
      </w:r>
      <w:r>
        <w:rPr>
          <w:spacing w:val="-2"/>
          <w:sz w:val="22"/>
        </w:rPr>
        <w:t>Selanjutnya</w:t>
      </w:r>
    </w:p>
    <w:p>
      <w:pPr>
        <w:pStyle w:val="BodyText"/>
        <w:spacing w:before="119"/>
        <w:ind w:left="383" w:right="160" w:firstLine="360"/>
      </w:pPr>
      <w:r>
        <w:rPr/>
        <w:t>Diharapkan penelitian ini sebagai referensi dan pertimbangan bagi peneliti selanjutnya dalam pengelolaan sampah rumah tangga dengan </w:t>
      </w:r>
      <w:r>
        <w:rPr/>
        <w:t>menggunakan variabel atau metode yang berbeda seperti pengaruh motivasi, dukungan dari organisasi PKK, NNB dan tokoh masyarakat dalam pengelolaan sampah.</w:t>
      </w:r>
    </w:p>
    <w:p>
      <w:pPr>
        <w:pStyle w:val="Heading1"/>
        <w:numPr>
          <w:ilvl w:val="0"/>
          <w:numId w:val="1"/>
        </w:numPr>
        <w:tabs>
          <w:tab w:pos="450" w:val="left" w:leader="none"/>
        </w:tabs>
        <w:spacing w:line="240" w:lineRule="auto" w:before="121" w:after="0"/>
        <w:ind w:left="450" w:right="0" w:hanging="427"/>
        <w:jc w:val="left"/>
      </w:pPr>
      <w:r>
        <w:rPr>
          <w:spacing w:val="-2"/>
        </w:rPr>
        <w:t>REFERENSI</w:t>
      </w:r>
    </w:p>
    <w:p>
      <w:pPr>
        <w:pStyle w:val="BodyText"/>
        <w:tabs>
          <w:tab w:pos="2389" w:val="left" w:leader="none"/>
          <w:tab w:pos="3576" w:val="left" w:leader="none"/>
        </w:tabs>
        <w:spacing w:before="119"/>
        <w:ind w:left="503" w:right="158" w:hanging="481"/>
      </w:pPr>
      <w:r>
        <w:rPr/>
        <w:t>Abunawas, N. F. A. S. G. K. (2023). Konsep Umum Populasi Dan Sampel Dalam Penelitian. Jurnal Kajian Islam </w:t>
      </w:r>
      <w:r>
        <w:rPr>
          <w:spacing w:val="-2"/>
        </w:rPr>
        <w:t>Kontemporer,</w:t>
      </w:r>
      <w:r>
        <w:rPr/>
        <w:tab/>
      </w:r>
      <w:r>
        <w:rPr>
          <w:spacing w:val="-2"/>
        </w:rPr>
        <w:t>14(1),</w:t>
      </w:r>
      <w:r>
        <w:rPr/>
        <w:tab/>
      </w:r>
      <w:r>
        <w:rPr>
          <w:spacing w:val="-2"/>
        </w:rPr>
        <w:t>15–</w:t>
      </w:r>
      <w:r>
        <w:rPr>
          <w:spacing w:val="-2"/>
        </w:rPr>
        <w:t>31. </w:t>
      </w:r>
      <w:hyperlink r:id="rId9">
        <w:r>
          <w:rPr/>
          <w:t>Https://Doi.Org/10.21070/2017/978-979-</w:t>
        </w:r>
      </w:hyperlink>
      <w:r>
        <w:rPr>
          <w:spacing w:val="-2"/>
        </w:rPr>
        <w:t>3401-73-7</w:t>
      </w:r>
    </w:p>
    <w:p>
      <w:pPr>
        <w:pStyle w:val="BodyText"/>
        <w:spacing w:before="160"/>
        <w:ind w:left="503" w:right="160" w:hanging="481"/>
      </w:pPr>
      <w:r>
        <w:rPr/>
        <w:t>Abusamah, M. G. (2023). Pelatihan Pengelolaan Sampah Rumah Tangga Dengan Cara Pilah Sampah Di Desa Pidodowetan Kabupaten Kendal. 1(1), </w:t>
      </w:r>
      <w:r>
        <w:rPr>
          <w:spacing w:val="-2"/>
        </w:rPr>
        <w:t>49–55.</w:t>
      </w:r>
    </w:p>
    <w:p>
      <w:pPr>
        <w:pStyle w:val="BodyText"/>
        <w:spacing w:after="0"/>
        <w:sectPr>
          <w:pgSz w:w="11910" w:h="16840"/>
          <w:pgMar w:header="0" w:footer="2031" w:top="1340" w:bottom="2280" w:left="1417" w:right="1275"/>
          <w:cols w:num="2" w:equalWidth="0">
            <w:col w:w="4188" w:space="680"/>
            <w:col w:w="4350"/>
          </w:cols>
        </w:sectPr>
      </w:pPr>
    </w:p>
    <w:p>
      <w:pPr>
        <w:pStyle w:val="BodyText"/>
        <w:spacing w:before="83"/>
        <w:ind w:left="503"/>
        <w:jc w:val="left"/>
      </w:pPr>
      <w:hyperlink r:id="rId10">
        <w:r>
          <w:rPr>
            <w:color w:val="0462C1"/>
            <w:spacing w:val="-2"/>
            <w:u w:val="single" w:color="0462C1"/>
          </w:rPr>
          <w:t>Https://Doi.Org/10.26623/Jpk.V1i1.5982</w:t>
        </w:r>
      </w:hyperlink>
    </w:p>
    <w:p>
      <w:pPr>
        <w:pStyle w:val="BodyText"/>
        <w:spacing w:before="157"/>
        <w:ind w:left="503" w:hanging="480"/>
      </w:pPr>
      <w:r>
        <w:rPr/>
        <w:t>Adam, G. (2025). Dampak Sampah </w:t>
      </w:r>
      <w:r>
        <w:rPr/>
        <w:t>Terhadap Kesehatan Lingkungan Dan Manusia. 5(1),</w:t>
      </w:r>
      <w:r>
        <w:rPr>
          <w:spacing w:val="66"/>
        </w:rPr>
        <w:t> </w:t>
      </w:r>
      <w:r>
        <w:rPr/>
        <w:t>13–19.</w:t>
      </w:r>
      <w:r>
        <w:rPr>
          <w:spacing w:val="69"/>
        </w:rPr>
        <w:t> </w:t>
      </w:r>
      <w:r>
        <w:rPr/>
        <w:t>Akbar,</w:t>
      </w:r>
      <w:r>
        <w:rPr>
          <w:spacing w:val="67"/>
        </w:rPr>
        <w:t> </w:t>
      </w:r>
      <w:r>
        <w:rPr/>
        <w:t>H.</w:t>
      </w:r>
      <w:r>
        <w:rPr>
          <w:spacing w:val="67"/>
        </w:rPr>
        <w:t> </w:t>
      </w:r>
      <w:r>
        <w:rPr/>
        <w:t>(2021).</w:t>
      </w:r>
      <w:r>
        <w:rPr>
          <w:spacing w:val="67"/>
        </w:rPr>
        <w:t> </w:t>
      </w:r>
      <w:r>
        <w:rPr>
          <w:spacing w:val="-2"/>
        </w:rPr>
        <w:t>Aspek</w:t>
      </w:r>
    </w:p>
    <w:p>
      <w:pPr>
        <w:pStyle w:val="BodyText"/>
        <w:ind w:left="503"/>
      </w:pPr>
      <w:r>
        <w:rPr/>
        <w:t>Pengetahuan Dan Sikap </w:t>
      </w:r>
      <w:r>
        <w:rPr/>
        <w:t>Masyarakat Terhadap Pengelolaan Sampah Rumah Tangga Di Desa Muntoi. 3(2), 22–27.</w:t>
      </w:r>
    </w:p>
    <w:p>
      <w:pPr>
        <w:pStyle w:val="BodyText"/>
        <w:tabs>
          <w:tab w:pos="1822" w:val="left" w:leader="none"/>
          <w:tab w:pos="3271" w:val="left" w:leader="none"/>
        </w:tabs>
        <w:spacing w:before="160"/>
        <w:ind w:left="503" w:right="1" w:hanging="480"/>
        <w:jc w:val="left"/>
      </w:pPr>
      <w:r>
        <w:rPr/>
        <w:t>Ajzen,</w:t>
      </w:r>
      <w:r>
        <w:rPr>
          <w:spacing w:val="40"/>
        </w:rPr>
        <w:t> </w:t>
      </w:r>
      <w:r>
        <w:rPr/>
        <w:t>I.</w:t>
      </w:r>
      <w:r>
        <w:rPr>
          <w:spacing w:val="40"/>
        </w:rPr>
        <w:t> </w:t>
      </w:r>
      <w:r>
        <w:rPr/>
        <w:t>(1991).</w:t>
      </w:r>
      <w:r>
        <w:rPr>
          <w:spacing w:val="80"/>
        </w:rPr>
        <w:t> </w:t>
      </w:r>
      <w:r>
        <w:rPr/>
        <w:t>The</w:t>
      </w:r>
      <w:r>
        <w:rPr>
          <w:spacing w:val="80"/>
        </w:rPr>
        <w:t> </w:t>
      </w:r>
      <w:r>
        <w:rPr/>
        <w:t>Theory</w:t>
      </w:r>
      <w:r>
        <w:rPr>
          <w:spacing w:val="80"/>
        </w:rPr>
        <w:t> </w:t>
      </w:r>
      <w:r>
        <w:rPr/>
        <w:t>Of</w:t>
      </w:r>
      <w:r>
        <w:rPr>
          <w:spacing w:val="80"/>
        </w:rPr>
        <w:t> </w:t>
      </w:r>
      <w:r>
        <w:rPr/>
        <w:t>Planned Behavior.</w:t>
      </w:r>
      <w:r>
        <w:rPr>
          <w:spacing w:val="40"/>
        </w:rPr>
        <w:t> </w:t>
      </w:r>
      <w:r>
        <w:rPr/>
        <w:t>Organizational</w:t>
      </w:r>
      <w:r>
        <w:rPr>
          <w:spacing w:val="40"/>
        </w:rPr>
        <w:t> </w:t>
      </w:r>
      <w:r>
        <w:rPr/>
        <w:t>Behavior</w:t>
      </w:r>
      <w:r>
        <w:rPr>
          <w:spacing w:val="40"/>
        </w:rPr>
        <w:t> </w:t>
      </w:r>
      <w:r>
        <w:rPr/>
        <w:t>And </w:t>
      </w:r>
      <w:r>
        <w:rPr>
          <w:spacing w:val="-2"/>
        </w:rPr>
        <w:t>Human</w:t>
      </w:r>
      <w:r>
        <w:rPr/>
        <w:tab/>
      </w:r>
      <w:r>
        <w:rPr>
          <w:spacing w:val="-2"/>
        </w:rPr>
        <w:t>Decision</w:t>
      </w:r>
      <w:r>
        <w:rPr/>
        <w:tab/>
      </w:r>
      <w:r>
        <w:rPr>
          <w:spacing w:val="-2"/>
        </w:rPr>
        <w:t>Processes, </w:t>
      </w:r>
      <w:hyperlink r:id="rId11">
        <w:r>
          <w:rPr/>
          <w:t>Https://Doi.Org/10.1016/0749-</w:t>
        </w:r>
      </w:hyperlink>
      <w:r>
        <w:rPr>
          <w:spacing w:val="-2"/>
        </w:rPr>
        <w:t>5978(91)90020-T</w:t>
      </w:r>
    </w:p>
    <w:p>
      <w:pPr>
        <w:pStyle w:val="BodyText"/>
        <w:ind w:left="503"/>
        <w:jc w:val="left"/>
      </w:pPr>
      <w:hyperlink r:id="rId11">
        <w:r>
          <w:rPr/>
          <w:t>Https://Doi.Org/10.1016/0749-</w:t>
        </w:r>
      </w:hyperlink>
      <w:r>
        <w:rPr/>
        <w:t>5978(91)90020-T</w:t>
      </w:r>
      <w:r>
        <w:rPr>
          <w:spacing w:val="80"/>
        </w:rPr>
        <w:t> </w:t>
      </w:r>
      <w:r>
        <w:rPr/>
        <w:t>50(2),</w:t>
      </w:r>
      <w:r>
        <w:rPr>
          <w:spacing w:val="40"/>
        </w:rPr>
        <w:t> </w:t>
      </w:r>
      <w:r>
        <w:rPr/>
        <w:t>Diakses</w:t>
      </w:r>
      <w:r>
        <w:rPr>
          <w:spacing w:val="80"/>
        </w:rPr>
        <w:t> </w:t>
      </w:r>
      <w:r>
        <w:rPr/>
        <w:t>179–</w:t>
      </w:r>
    </w:p>
    <w:p>
      <w:pPr>
        <w:pStyle w:val="BodyText"/>
        <w:spacing w:before="3"/>
        <w:ind w:left="503"/>
        <w:jc w:val="left"/>
      </w:pPr>
      <w:r>
        <w:rPr>
          <w:spacing w:val="-4"/>
        </w:rPr>
        <w:t>211.</w:t>
      </w:r>
    </w:p>
    <w:p>
      <w:pPr>
        <w:pStyle w:val="BodyText"/>
        <w:spacing w:before="158"/>
        <w:ind w:left="503" w:hanging="480"/>
      </w:pPr>
      <w:r>
        <w:rPr/>
        <w:t>Annisa, M., Abrori, F. M., &amp; Listiani. (2018). Pemberdayaan Mahasiswa dalam Penerapan Prinsip Pengelolaan Sampah Menggunakan Pola 4R. Lentera Sains, 8(2), 75–81.</w:t>
      </w:r>
    </w:p>
    <w:p>
      <w:pPr>
        <w:pStyle w:val="BodyText"/>
        <w:spacing w:before="160"/>
        <w:ind w:left="503" w:right="1" w:hanging="480"/>
      </w:pPr>
      <w:r>
        <w:rPr/>
        <w:t>Arsela, W. (2023). Pengaruh Pelatihan Pengelolaan Sampah Rumah </w:t>
      </w:r>
      <w:r>
        <w:rPr/>
        <w:t>Tangga Terhadap</w:t>
      </w:r>
      <w:r>
        <w:rPr>
          <w:spacing w:val="-14"/>
        </w:rPr>
        <w:t> </w:t>
      </w:r>
      <w:r>
        <w:rPr/>
        <w:t>Tingkat</w:t>
      </w:r>
      <w:r>
        <w:rPr>
          <w:spacing w:val="-14"/>
        </w:rPr>
        <w:t> </w:t>
      </w:r>
      <w:r>
        <w:rPr/>
        <w:t>Pengetahuan</w:t>
      </w:r>
      <w:r>
        <w:rPr>
          <w:spacing w:val="-14"/>
        </w:rPr>
        <w:t> </w:t>
      </w:r>
      <w:r>
        <w:rPr/>
        <w:t>Sikap</w:t>
      </w:r>
      <w:r>
        <w:rPr>
          <w:spacing w:val="-13"/>
        </w:rPr>
        <w:t> </w:t>
      </w:r>
      <w:r>
        <w:rPr/>
        <w:t>Dan Tindakan Masyarakat Di RT 17 Kelurahan Kenali Besar Kota Jambi Tahun 2023.</w:t>
      </w:r>
    </w:p>
    <w:p>
      <w:pPr>
        <w:pStyle w:val="BodyText"/>
        <w:spacing w:line="242" w:lineRule="auto" w:before="160"/>
        <w:ind w:left="503" w:right="1" w:hanging="480"/>
      </w:pPr>
      <w:r>
        <w:rPr/>
        <w:t>Darsini, Fahrurrozi, &amp; Cahyono, E. A. (2019). Pengetahuan</w:t>
      </w:r>
      <w:r>
        <w:rPr>
          <w:spacing w:val="-14"/>
        </w:rPr>
        <w:t> </w:t>
      </w:r>
      <w:r>
        <w:rPr/>
        <w:t>; Artikel Review. Jurnal Keperawatan, 12(1), 97.</w:t>
      </w:r>
    </w:p>
    <w:p>
      <w:pPr>
        <w:pStyle w:val="BodyText"/>
        <w:spacing w:before="153"/>
        <w:ind w:left="503" w:hanging="480"/>
      </w:pPr>
      <w:r>
        <w:rPr/>
        <w:t>Deasy, A. (2017). Dampak Bencana Banjir Terhadap Kondisi Sosial Ekonomi masyarakat di Kecamatan Batu Benawa Kabupaten Hulu Sungai </w:t>
      </w:r>
      <w:r>
        <w:rPr/>
        <w:t>Tengah, Kalimantan Selatan. JPG (Jurnal Pendidikan Geografi), 4(4), 42-52.</w:t>
      </w:r>
    </w:p>
    <w:p>
      <w:pPr>
        <w:pStyle w:val="BodyText"/>
        <w:spacing w:before="160"/>
        <w:ind w:left="503" w:hanging="480"/>
      </w:pPr>
      <w:r>
        <w:rPr/>
        <w:t>Herawati, C., Kristanti, I., Selviana, M., &amp; Novita, T. (2019). Peran Promosi Kesehatan Terhadap Perbaikan Pengetahuan , Sikap , Dan. 1(1), 40–51.</w:t>
      </w:r>
    </w:p>
    <w:p>
      <w:pPr>
        <w:pStyle w:val="BodyText"/>
        <w:spacing w:before="160"/>
        <w:ind w:left="503" w:hanging="480"/>
      </w:pPr>
      <w:r>
        <w:rPr/>
        <w:t>Husna, yuliati. 2024. Hubungan Pengetahuan dan Sikap Terhadap Sampah Rumah Tangga Pada Masyarakat di Kecamatan Siantar Martoba.</w:t>
      </w:r>
    </w:p>
    <w:p>
      <w:pPr>
        <w:pStyle w:val="BodyText"/>
        <w:spacing w:before="161"/>
        <w:ind w:left="503" w:hanging="480"/>
      </w:pPr>
      <w:r>
        <w:rPr/>
        <w:t>Kamal, F. (2009). Hubungan Antara Tingkat Pengetahuan Dan Sikap Ibu </w:t>
      </w:r>
      <w:r>
        <w:rPr/>
        <w:t>Rumah Tangga</w:t>
      </w:r>
      <w:r>
        <w:rPr>
          <w:spacing w:val="28"/>
        </w:rPr>
        <w:t>  </w:t>
      </w:r>
      <w:r>
        <w:rPr/>
        <w:t>Tentang</w:t>
      </w:r>
      <w:r>
        <w:rPr>
          <w:spacing w:val="29"/>
        </w:rPr>
        <w:t>  </w:t>
      </w:r>
      <w:r>
        <w:rPr/>
        <w:t>Pengelolaan</w:t>
      </w:r>
      <w:r>
        <w:rPr>
          <w:spacing w:val="29"/>
        </w:rPr>
        <w:t>  </w:t>
      </w:r>
      <w:r>
        <w:rPr>
          <w:spacing w:val="-2"/>
        </w:rPr>
        <w:t>Sampah</w:t>
      </w:r>
    </w:p>
    <w:p>
      <w:pPr>
        <w:pStyle w:val="BodyText"/>
        <w:spacing w:before="80"/>
        <w:ind w:left="503" w:right="158"/>
      </w:pPr>
      <w:r>
        <w:rPr/>
        <w:br w:type="column"/>
      </w:r>
      <w:r>
        <w:rPr/>
        <w:t>Dengan Perilaku Pembuangan Sampah Pada</w:t>
      </w:r>
      <w:r>
        <w:rPr>
          <w:spacing w:val="-8"/>
        </w:rPr>
        <w:t> </w:t>
      </w:r>
      <w:r>
        <w:rPr/>
        <w:t>Masyarakat</w:t>
      </w:r>
      <w:r>
        <w:rPr>
          <w:spacing w:val="-8"/>
        </w:rPr>
        <w:t> </w:t>
      </w:r>
      <w:r>
        <w:rPr/>
        <w:t>Sekitar</w:t>
      </w:r>
      <w:r>
        <w:rPr>
          <w:spacing w:val="-8"/>
        </w:rPr>
        <w:t> </w:t>
      </w:r>
      <w:r>
        <w:rPr/>
        <w:t>Sungai</w:t>
      </w:r>
      <w:r>
        <w:rPr>
          <w:spacing w:val="-8"/>
        </w:rPr>
        <w:t> </w:t>
      </w:r>
      <w:r>
        <w:rPr/>
        <w:t>Beringin Di Rw 07 Kelurahan 45 Wonosari Kecamatan Ngaliyan Kota Semarang.</w:t>
      </w:r>
    </w:p>
    <w:p>
      <w:pPr>
        <w:pStyle w:val="BodyText"/>
        <w:tabs>
          <w:tab w:pos="1398" w:val="left" w:leader="none"/>
          <w:tab w:pos="2393" w:val="left" w:leader="none"/>
          <w:tab w:pos="3353" w:val="left" w:leader="none"/>
        </w:tabs>
        <w:spacing w:before="160"/>
        <w:ind w:left="503" w:right="159" w:hanging="481"/>
        <w:jc w:val="left"/>
      </w:pPr>
      <w:r>
        <w:rPr/>
        <w:t>Kristanti,</w:t>
      </w:r>
      <w:r>
        <w:rPr>
          <w:spacing w:val="40"/>
        </w:rPr>
        <w:t> </w:t>
      </w:r>
      <w:r>
        <w:rPr/>
        <w:t>I.</w:t>
      </w:r>
      <w:r>
        <w:rPr>
          <w:spacing w:val="40"/>
        </w:rPr>
        <w:t> </w:t>
      </w:r>
      <w:r>
        <w:rPr/>
        <w:t>(2017).</w:t>
      </w:r>
      <w:r>
        <w:rPr>
          <w:spacing w:val="40"/>
        </w:rPr>
        <w:t> </w:t>
      </w:r>
      <w:r>
        <w:rPr/>
        <w:t>Hubungan</w:t>
      </w:r>
      <w:r>
        <w:rPr>
          <w:spacing w:val="40"/>
        </w:rPr>
        <w:t> </w:t>
      </w:r>
      <w:r>
        <w:rPr/>
        <w:t>Pengetahuan Dan Sikap Tentang Pengelolaan Sampah Dengan</w:t>
      </w:r>
      <w:r>
        <w:rPr>
          <w:spacing w:val="40"/>
        </w:rPr>
        <w:t> </w:t>
      </w:r>
      <w:r>
        <w:rPr/>
        <w:t>Perilaku</w:t>
      </w:r>
      <w:r>
        <w:rPr>
          <w:spacing w:val="40"/>
        </w:rPr>
        <w:t> </w:t>
      </w:r>
      <w:r>
        <w:rPr/>
        <w:t>Pembuangan</w:t>
      </w:r>
      <w:r>
        <w:rPr>
          <w:spacing w:val="40"/>
        </w:rPr>
        <w:t> </w:t>
      </w:r>
      <w:r>
        <w:rPr/>
        <w:t>Sampah. Jurnal</w:t>
      </w:r>
      <w:r>
        <w:rPr>
          <w:spacing w:val="80"/>
        </w:rPr>
        <w:t> </w:t>
      </w:r>
      <w:r>
        <w:rPr/>
        <w:t>Kesehatan,</w:t>
      </w:r>
      <w:r>
        <w:rPr>
          <w:spacing w:val="80"/>
        </w:rPr>
        <w:t> </w:t>
      </w:r>
      <w:r>
        <w:rPr/>
        <w:t>991–997.</w:t>
      </w:r>
      <w:r>
        <w:rPr>
          <w:spacing w:val="80"/>
        </w:rPr>
        <w:t> </w:t>
      </w:r>
      <w:r>
        <w:rPr/>
        <w:t>Mulyati. </w:t>
      </w:r>
      <w:r>
        <w:rPr>
          <w:spacing w:val="-2"/>
        </w:rPr>
        <w:t>(2021).</w:t>
      </w:r>
      <w:r>
        <w:rPr/>
        <w:tab/>
      </w:r>
      <w:r>
        <w:rPr>
          <w:spacing w:val="-2"/>
        </w:rPr>
        <w:t>Dampak</w:t>
      </w:r>
      <w:r>
        <w:rPr/>
        <w:tab/>
      </w:r>
      <w:r>
        <w:rPr>
          <w:spacing w:val="-2"/>
        </w:rPr>
        <w:t>Sampah</w:t>
      </w:r>
      <w:r>
        <w:rPr/>
        <w:tab/>
      </w:r>
      <w:r>
        <w:rPr>
          <w:spacing w:val="-2"/>
        </w:rPr>
        <w:t>Terhadap </w:t>
      </w:r>
      <w:r>
        <w:rPr/>
        <w:t>Kesehatan</w:t>
      </w:r>
      <w:r>
        <w:rPr>
          <w:spacing w:val="80"/>
        </w:rPr>
        <w:t> </w:t>
      </w:r>
      <w:r>
        <w:rPr/>
        <w:t>Lingkungan</w:t>
      </w:r>
      <w:r>
        <w:rPr>
          <w:spacing w:val="80"/>
        </w:rPr>
        <w:t> </w:t>
      </w:r>
      <w:r>
        <w:rPr/>
        <w:t>Dan</w:t>
      </w:r>
      <w:r>
        <w:rPr>
          <w:spacing w:val="80"/>
        </w:rPr>
        <w:t> </w:t>
      </w:r>
      <w:r>
        <w:rPr/>
        <w:t>Manusia. </w:t>
      </w:r>
      <w:r>
        <w:rPr>
          <w:spacing w:val="-2"/>
        </w:rPr>
        <w:t>Figshare, </w:t>
      </w:r>
      <w:hyperlink r:id="rId12">
        <w:r>
          <w:rPr>
            <w:color w:val="0462C1"/>
            <w:spacing w:val="-2"/>
            <w:u w:val="single" w:color="0462C1"/>
          </w:rPr>
          <w:t>Https://Doi.Org/10.6084/M9.Figshare.16</w:t>
        </w:r>
      </w:hyperlink>
      <w:r>
        <w:rPr>
          <w:color w:val="0462C1"/>
          <w:spacing w:val="-2"/>
        </w:rPr>
        <w:t> </w:t>
      </w:r>
      <w:hyperlink r:id="rId12">
        <w:r>
          <w:rPr>
            <w:color w:val="0462C1"/>
            <w:u w:val="single" w:color="0462C1"/>
          </w:rPr>
          <w:t>622644.V1 1</w:t>
        </w:r>
        <w:r>
          <w:rPr/>
          <w:t>.</w:t>
        </w:r>
      </w:hyperlink>
    </w:p>
    <w:p>
      <w:pPr>
        <w:pStyle w:val="BodyText"/>
        <w:spacing w:before="162"/>
        <w:ind w:left="503" w:right="161" w:hanging="481"/>
      </w:pPr>
      <w:r>
        <w:rPr/>
        <w:t>Kartika Dewi, Mutiara. 2016. Perilaku Masyarakat Sekitar Sungai Mahakam Kabupaten Kutai Kartanegara Terhadap Pengelolaan Sampah.</w:t>
      </w:r>
    </w:p>
    <w:p>
      <w:pPr>
        <w:pStyle w:val="BodyText"/>
        <w:spacing w:before="159"/>
        <w:ind w:left="503" w:right="160" w:hanging="481"/>
      </w:pPr>
      <w:r>
        <w:rPr/>
        <w:t>Nurul Hidayah Nasution, Ahmad Irfandi, Rd. Indah</w:t>
      </w:r>
      <w:r>
        <w:rPr>
          <w:spacing w:val="-10"/>
        </w:rPr>
        <w:t> </w:t>
      </w:r>
      <w:r>
        <w:rPr/>
        <w:t>Nirtha</w:t>
      </w:r>
      <w:r>
        <w:rPr>
          <w:spacing w:val="-10"/>
        </w:rPr>
        <w:t> </w:t>
      </w:r>
      <w:r>
        <w:rPr/>
        <w:t>Nnps</w:t>
      </w:r>
      <w:r>
        <w:rPr>
          <w:spacing w:val="-10"/>
        </w:rPr>
        <w:t> </w:t>
      </w:r>
      <w:r>
        <w:rPr/>
        <w:t>Ridhayani</w:t>
      </w:r>
      <w:r>
        <w:rPr>
          <w:spacing w:val="-10"/>
        </w:rPr>
        <w:t> </w:t>
      </w:r>
      <w:r>
        <w:rPr/>
        <w:t>Adiningsih, I Gede Purnawinadi Niken </w:t>
      </w:r>
      <w:r>
        <w:rPr/>
        <w:t>Bayu Argaheni, I. G. P.</w:t>
      </w:r>
      <w:r>
        <w:rPr>
          <w:spacing w:val="-3"/>
        </w:rPr>
        <w:t> </w:t>
      </w:r>
      <w:r>
        <w:rPr/>
        <w:t>(2021).</w:t>
      </w:r>
      <w:r>
        <w:rPr>
          <w:spacing w:val="-2"/>
        </w:rPr>
        <w:t> </w:t>
      </w:r>
      <w:r>
        <w:rPr/>
        <w:t>Kesehatan Dan Pengelolaan Lingkungan. Yayasan Kita </w:t>
      </w:r>
      <w:r>
        <w:rPr>
          <w:spacing w:val="-2"/>
        </w:rPr>
        <w:t>Menulis.</w:t>
      </w:r>
    </w:p>
    <w:p>
      <w:pPr>
        <w:pStyle w:val="BodyText"/>
        <w:spacing w:before="160"/>
        <w:ind w:left="503" w:right="162" w:hanging="481"/>
      </w:pPr>
      <w:r>
        <w:rPr/>
        <w:t>Notoatmodjo S. Promosi Kesehatan dan Ilmu perilaku. Jakarta: PT Rineka Cipta:2010</w:t>
      </w:r>
    </w:p>
    <w:p>
      <w:pPr>
        <w:pStyle w:val="BodyText"/>
        <w:spacing w:before="161"/>
        <w:ind w:left="503" w:right="160" w:hanging="481"/>
      </w:pPr>
      <w:r>
        <w:rPr/>
        <w:t>Rambe, Suci Nurfaizah. (2016). Hubungan Pengetahuan Dan Sikap </w:t>
      </w:r>
      <w:r>
        <w:rPr/>
        <w:t>Dengan Penerapan</w:t>
      </w:r>
      <w:r>
        <w:rPr>
          <w:spacing w:val="-14"/>
        </w:rPr>
        <w:t> </w:t>
      </w:r>
      <w:r>
        <w:rPr/>
        <w:t>Phbs</w:t>
      </w:r>
      <w:r>
        <w:rPr>
          <w:spacing w:val="-14"/>
        </w:rPr>
        <w:t> </w:t>
      </w:r>
      <w:r>
        <w:rPr/>
        <w:t>Membuang</w:t>
      </w:r>
      <w:r>
        <w:rPr>
          <w:spacing w:val="-14"/>
        </w:rPr>
        <w:t> </w:t>
      </w:r>
      <w:r>
        <w:rPr/>
        <w:t>Sampah</w:t>
      </w:r>
      <w:r>
        <w:rPr>
          <w:spacing w:val="-13"/>
        </w:rPr>
        <w:t> </w:t>
      </w:r>
      <w:r>
        <w:rPr/>
        <w:t>Pada Tempatnya Di Sdn 100160 Morang Kecamatan Batang Onang Tahun 2022. 19(5), 1–23.</w:t>
      </w:r>
    </w:p>
    <w:p>
      <w:pPr>
        <w:pStyle w:val="BodyText"/>
        <w:spacing w:before="160"/>
        <w:ind w:left="503" w:right="160" w:hanging="481"/>
      </w:pPr>
      <w:r>
        <w:rPr/>
        <w:t>Rizkiyati, W. (2019). Hubungan Sikap Dan Pengetahuan Masyarakat </w:t>
      </w:r>
      <w:r>
        <w:rPr/>
        <w:t>Terhadap Sistem Pengelolaan Sampah Di Desa Sei Semayang Kecamatan Sunggal Tahun </w:t>
      </w:r>
      <w:r>
        <w:rPr>
          <w:spacing w:val="-2"/>
        </w:rPr>
        <w:t>2019.</w:t>
      </w:r>
    </w:p>
    <w:p>
      <w:pPr>
        <w:pStyle w:val="BodyText"/>
        <w:spacing w:line="242" w:lineRule="auto" w:before="159"/>
        <w:ind w:left="503" w:right="161" w:hanging="481"/>
      </w:pPr>
      <w:r>
        <w:rPr/>
        <w:t>Saipullah, Muzaffar, M. Y. (2023). Hubungan Tingkat Pengetahuan Dan Sikap </w:t>
      </w:r>
      <w:r>
        <w:rPr/>
        <w:t>Dengan Perilaku Ibu Dalam Pengelolaan Sampah Rumah Tangga. 6(4), 547–551.</w:t>
      </w:r>
    </w:p>
    <w:p>
      <w:pPr>
        <w:pStyle w:val="BodyText"/>
        <w:spacing w:before="152"/>
        <w:ind w:left="503" w:right="160" w:hanging="481"/>
      </w:pPr>
      <w:r>
        <w:rPr/>
        <w:t>Seri Asnawati Munthe, L. R. V. S. (2022). Pengelolaan Sampah Rumah Tangga Ditinjau</w:t>
      </w:r>
      <w:r>
        <w:rPr>
          <w:spacing w:val="-4"/>
        </w:rPr>
        <w:t> </w:t>
      </w:r>
      <w:r>
        <w:rPr/>
        <w:t>Dari</w:t>
      </w:r>
      <w:r>
        <w:rPr>
          <w:spacing w:val="-5"/>
        </w:rPr>
        <w:t> </w:t>
      </w:r>
      <w:r>
        <w:rPr/>
        <w:t>Pengetahuan</w:t>
      </w:r>
      <w:r>
        <w:rPr>
          <w:spacing w:val="-8"/>
        </w:rPr>
        <w:t> </w:t>
      </w:r>
      <w:r>
        <w:rPr/>
        <w:t>Dan</w:t>
      </w:r>
      <w:r>
        <w:rPr>
          <w:spacing w:val="-4"/>
        </w:rPr>
        <w:t> </w:t>
      </w:r>
      <w:r>
        <w:rPr/>
        <w:t>Sikap</w:t>
      </w:r>
      <w:r>
        <w:rPr>
          <w:spacing w:val="-6"/>
        </w:rPr>
        <w:t> </w:t>
      </w:r>
      <w:r>
        <w:rPr/>
        <w:t>Ibu Rumah Tangga Seri. 4(2), 83 88. </w:t>
      </w:r>
      <w:hyperlink r:id="rId13">
        <w:r>
          <w:rPr>
            <w:spacing w:val="-2"/>
          </w:rPr>
          <w:t>Https://Doi.Org/10.34012/Jpms.V4i2.326</w:t>
        </w:r>
      </w:hyperlink>
      <w:r>
        <w:rPr>
          <w:spacing w:val="-2"/>
        </w:rPr>
        <w:t> </w:t>
      </w:r>
      <w:r>
        <w:rPr/>
        <w:t>9 46</w:t>
      </w:r>
    </w:p>
    <w:p>
      <w:pPr>
        <w:pStyle w:val="BodyText"/>
        <w:spacing w:after="0"/>
        <w:sectPr>
          <w:pgSz w:w="11910" w:h="16840"/>
          <w:pgMar w:header="0" w:footer="2031" w:top="1340" w:bottom="2240" w:left="1417" w:right="1275"/>
          <w:cols w:num="2" w:equalWidth="0">
            <w:col w:w="4186" w:space="682"/>
            <w:col w:w="4350"/>
          </w:cols>
        </w:sectPr>
      </w:pPr>
    </w:p>
    <w:p>
      <w:pPr>
        <w:pStyle w:val="BodyText"/>
        <w:spacing w:before="80"/>
        <w:ind w:left="503" w:hanging="480"/>
      </w:pPr>
      <w:r>
        <w:rPr/>
        <w:t>Sinta Julina, Umar Suryadi Bakri, Syaiful Syam, Laila Indrianti, D. A. (2022). Penyuluhan</w:t>
      </w:r>
      <w:r>
        <w:rPr>
          <w:spacing w:val="-14"/>
        </w:rPr>
        <w:t> </w:t>
      </w:r>
      <w:r>
        <w:rPr/>
        <w:t>Prinsip</w:t>
      </w:r>
      <w:r>
        <w:rPr>
          <w:spacing w:val="-14"/>
        </w:rPr>
        <w:t> </w:t>
      </w:r>
      <w:r>
        <w:rPr/>
        <w:t>4</w:t>
      </w:r>
      <w:r>
        <w:rPr>
          <w:spacing w:val="-14"/>
        </w:rPr>
        <w:t> </w:t>
      </w:r>
      <w:r>
        <w:rPr/>
        <w:t>R</w:t>
      </w:r>
      <w:r>
        <w:rPr>
          <w:spacing w:val="-13"/>
        </w:rPr>
        <w:t> </w:t>
      </w:r>
      <w:r>
        <w:rPr/>
        <w:t>Untuk</w:t>
      </w:r>
      <w:r>
        <w:rPr>
          <w:spacing w:val="-14"/>
        </w:rPr>
        <w:t> </w:t>
      </w:r>
      <w:r>
        <w:rPr/>
        <w:t>Menangani Sampah Plastik Di Perumnas Suradita Cisauk Tangerang , Banten. 1.</w:t>
      </w:r>
    </w:p>
    <w:p>
      <w:pPr>
        <w:pStyle w:val="BodyText"/>
        <w:spacing w:line="242" w:lineRule="auto" w:before="161"/>
        <w:ind w:left="503" w:right="1" w:hanging="480"/>
      </w:pPr>
      <w:r>
        <w:rPr/>
        <w:t>Soemirat Slamet, Juli. Kesehatan Lingkungan. Yogyakarta: Gadjah Mada University </w:t>
      </w:r>
      <w:r>
        <w:rPr>
          <w:spacing w:val="-2"/>
        </w:rPr>
        <w:t>Press:2013</w:t>
      </w:r>
    </w:p>
    <w:p>
      <w:pPr>
        <w:pStyle w:val="BodyText"/>
        <w:spacing w:before="153"/>
        <w:ind w:left="503" w:hanging="480"/>
      </w:pPr>
      <w:r>
        <w:rPr/>
        <w:t>Sriagustini, I. (2022). Edukasi Pengolahan Sampah Rumah Tangga Sebagai Upaya Peningkatan Kesadaran Masyarakat Untuk</w:t>
      </w:r>
      <w:r>
        <w:rPr>
          <w:spacing w:val="6"/>
        </w:rPr>
        <w:t> </w:t>
      </w:r>
      <w:r>
        <w:rPr/>
        <w:t>Menjaga</w:t>
      </w:r>
      <w:r>
        <w:rPr>
          <w:spacing w:val="8"/>
        </w:rPr>
        <w:t> </w:t>
      </w:r>
      <w:r>
        <w:rPr/>
        <w:t>Lingkungan.</w:t>
      </w:r>
      <w:r>
        <w:rPr>
          <w:spacing w:val="7"/>
        </w:rPr>
        <w:t> </w:t>
      </w:r>
      <w:r>
        <w:rPr/>
        <w:t>01(01),</w:t>
      </w:r>
      <w:r>
        <w:rPr>
          <w:spacing w:val="7"/>
        </w:rPr>
        <w:t> </w:t>
      </w:r>
      <w:r>
        <w:rPr>
          <w:spacing w:val="-5"/>
        </w:rPr>
        <w:t>35–</w:t>
      </w:r>
    </w:p>
    <w:p>
      <w:pPr>
        <w:pStyle w:val="BodyText"/>
        <w:spacing w:before="1"/>
        <w:ind w:left="503"/>
        <w:jc w:val="left"/>
      </w:pPr>
      <w:r>
        <w:rPr>
          <w:spacing w:val="-5"/>
        </w:rPr>
        <w:t>46.</w:t>
      </w:r>
    </w:p>
    <w:p>
      <w:pPr>
        <w:pStyle w:val="BodyText"/>
        <w:spacing w:before="158"/>
        <w:ind w:left="503" w:right="1" w:hanging="480"/>
      </w:pPr>
      <w:r>
        <w:rPr/>
        <w:t>Triana, N., Rahman, B., Praza, R., Maryana, Fazria, N., Havidh, M., &amp; Muntazar. (2024).</w:t>
      </w:r>
      <w:r>
        <w:rPr>
          <w:spacing w:val="-5"/>
        </w:rPr>
        <w:t> </w:t>
      </w:r>
      <w:r>
        <w:rPr/>
        <w:t>Pengelolaan</w:t>
      </w:r>
      <w:r>
        <w:rPr>
          <w:spacing w:val="-4"/>
        </w:rPr>
        <w:t> </w:t>
      </w:r>
      <w:r>
        <w:rPr/>
        <w:t>Sampah</w:t>
      </w:r>
      <w:r>
        <w:rPr>
          <w:spacing w:val="-5"/>
        </w:rPr>
        <w:t> </w:t>
      </w:r>
      <w:r>
        <w:rPr/>
        <w:t>Berbasis</w:t>
      </w:r>
      <w:r>
        <w:rPr>
          <w:spacing w:val="-4"/>
        </w:rPr>
        <w:t> </w:t>
      </w:r>
      <w:r>
        <w:rPr/>
        <w:t>4R dan Tanggung Jawab Masyarakat dalam Menjaga Lingkungan di Kota Lhokseumawe. JSM: Jurnal Solusi </w:t>
      </w:r>
      <w:r>
        <w:rPr>
          <w:spacing w:val="-2"/>
        </w:rPr>
        <w:t>Masyarakat.</w:t>
      </w:r>
    </w:p>
    <w:p>
      <w:pPr>
        <w:pStyle w:val="BodyText"/>
        <w:spacing w:line="242" w:lineRule="auto" w:before="161"/>
        <w:ind w:left="503" w:hanging="480"/>
      </w:pPr>
      <w:r>
        <w:rPr/>
        <w:t>Undang-Undang</w:t>
      </w:r>
      <w:r>
        <w:rPr>
          <w:spacing w:val="-14"/>
        </w:rPr>
        <w:t> </w:t>
      </w:r>
      <w:r>
        <w:rPr/>
        <w:t>Republik</w:t>
      </w:r>
      <w:r>
        <w:rPr>
          <w:spacing w:val="-14"/>
        </w:rPr>
        <w:t> </w:t>
      </w:r>
      <w:r>
        <w:rPr/>
        <w:t>Indonesia</w:t>
      </w:r>
      <w:r>
        <w:rPr>
          <w:spacing w:val="-14"/>
        </w:rPr>
        <w:t> </w:t>
      </w:r>
      <w:r>
        <w:rPr/>
        <w:t>Nomor</w:t>
      </w:r>
      <w:r>
        <w:rPr>
          <w:spacing w:val="-13"/>
        </w:rPr>
        <w:t> </w:t>
      </w:r>
      <w:r>
        <w:rPr/>
        <w:t>18 Tahun 2008 Tentang </w:t>
      </w:r>
      <w:r>
        <w:rPr/>
        <w:t>Pengelolaan Sampah. (2008).</w:t>
      </w:r>
    </w:p>
    <w:p>
      <w:pPr>
        <w:pStyle w:val="BodyText"/>
        <w:spacing w:before="153"/>
        <w:ind w:left="503" w:hanging="480"/>
      </w:pPr>
      <w:r>
        <w:rPr/>
        <w:t>Unep. (2024). Global Waste Management Outlook</w:t>
      </w:r>
      <w:r>
        <w:rPr>
          <w:spacing w:val="-14"/>
        </w:rPr>
        <w:t> </w:t>
      </w:r>
      <w:r>
        <w:rPr/>
        <w:t>2024</w:t>
      </w:r>
      <w:r>
        <w:rPr>
          <w:spacing w:val="-14"/>
        </w:rPr>
        <w:t> </w:t>
      </w:r>
      <w:r>
        <w:rPr/>
        <w:t>:</w:t>
      </w:r>
      <w:r>
        <w:rPr>
          <w:spacing w:val="-14"/>
        </w:rPr>
        <w:t> </w:t>
      </w:r>
      <w:r>
        <w:rPr/>
        <w:t>Beyond</w:t>
      </w:r>
      <w:r>
        <w:rPr>
          <w:spacing w:val="-13"/>
        </w:rPr>
        <w:t> </w:t>
      </w:r>
      <w:r>
        <w:rPr/>
        <w:t>An</w:t>
      </w:r>
      <w:r>
        <w:rPr>
          <w:spacing w:val="-14"/>
        </w:rPr>
        <w:t> </w:t>
      </w:r>
      <w:r>
        <w:rPr/>
        <w:t>Age</w:t>
      </w:r>
      <w:r>
        <w:rPr>
          <w:spacing w:val="-14"/>
        </w:rPr>
        <w:t> </w:t>
      </w:r>
      <w:r>
        <w:rPr/>
        <w:t>Of</w:t>
      </w:r>
      <w:r>
        <w:rPr>
          <w:spacing w:val="-14"/>
        </w:rPr>
        <w:t> </w:t>
      </w:r>
      <w:r>
        <w:rPr/>
        <w:t>Waste. </w:t>
      </w:r>
      <w:hyperlink r:id="rId14">
        <w:r>
          <w:rPr>
            <w:color w:val="0462C1"/>
            <w:spacing w:val="-2"/>
            <w:u w:val="single" w:color="0462C1"/>
          </w:rPr>
          <w:t>Https://Wedocs.Unep.Org/20.500.11822/</w:t>
        </w:r>
      </w:hyperlink>
      <w:r>
        <w:rPr>
          <w:color w:val="0462C1"/>
          <w:spacing w:val="-2"/>
        </w:rPr>
        <w:t> </w:t>
      </w:r>
      <w:hyperlink r:id="rId14">
        <w:r>
          <w:rPr>
            <w:color w:val="0462C1"/>
            <w:spacing w:val="-2"/>
            <w:u w:val="single" w:color="0462C1"/>
          </w:rPr>
          <w:t>44939</w:t>
        </w:r>
      </w:hyperlink>
    </w:p>
    <w:p>
      <w:pPr>
        <w:pStyle w:val="BodyText"/>
        <w:spacing w:before="159"/>
        <w:ind w:left="503" w:hanging="480"/>
      </w:pPr>
      <w:r>
        <w:rPr/>
        <w:t>Wahid, M. M. Z. A. (2025). Perilaku Ibu Rumah Tangga Dalam </w:t>
      </w:r>
      <w:r>
        <w:rPr/>
        <w:t>Pengelolaan Kelurahan Sako Kota Palembang Tahun 2025 Kelurahan Sako Kota Palembang.</w:t>
      </w:r>
    </w:p>
    <w:p>
      <w:pPr>
        <w:pStyle w:val="BodyText"/>
        <w:spacing w:line="242" w:lineRule="auto" w:before="159"/>
        <w:ind w:left="503" w:hanging="480"/>
      </w:pPr>
      <w:r>
        <w:rPr/>
        <w:t>Wahidyah, R. (2022). Hubungan </w:t>
      </w:r>
      <w:r>
        <w:rPr/>
        <w:t>pengetahuan dan sikap dengan perilaku pembuangan sampah di masyarakat desa pajar bulan tahun 2022.</w:t>
      </w:r>
    </w:p>
    <w:p>
      <w:pPr>
        <w:pStyle w:val="BodyText"/>
        <w:spacing w:before="153"/>
        <w:ind w:left="503" w:hanging="480"/>
      </w:pPr>
      <w:r>
        <w:rPr/>
        <w:t>Yonathan Suryo Pambudi, C. S. (2017). Analisis Pengaruh Pengetahuan </w:t>
      </w:r>
      <w:r>
        <w:rPr/>
        <w:t>Dan Sikap Tentang Pengelolaan Sampah Terhadap Perilaku Warga Dalam Mengelola Sampah Rumah Tangga Di Kelurahan</w:t>
      </w:r>
      <w:r>
        <w:rPr>
          <w:spacing w:val="-14"/>
        </w:rPr>
        <w:t> </w:t>
      </w:r>
      <w:r>
        <w:rPr/>
        <w:t>Sewu,</w:t>
      </w:r>
      <w:r>
        <w:rPr>
          <w:spacing w:val="-14"/>
        </w:rPr>
        <w:t> </w:t>
      </w:r>
      <w:r>
        <w:rPr/>
        <w:t>Kecamatan</w:t>
      </w:r>
      <w:r>
        <w:rPr>
          <w:spacing w:val="-14"/>
        </w:rPr>
        <w:t> </w:t>
      </w:r>
      <w:r>
        <w:rPr/>
        <w:t>Jebres,</w:t>
      </w:r>
      <w:r>
        <w:rPr>
          <w:spacing w:val="-13"/>
        </w:rPr>
        <w:t> </w:t>
      </w:r>
      <w:r>
        <w:rPr/>
        <w:t>Kota </w:t>
      </w:r>
      <w:r>
        <w:rPr>
          <w:spacing w:val="-2"/>
        </w:rPr>
        <w:t>Surakarta.</w:t>
      </w:r>
    </w:p>
    <w:p>
      <w:pPr>
        <w:pStyle w:val="BodyText"/>
        <w:spacing w:before="158"/>
        <w:ind w:left="503" w:hanging="480"/>
      </w:pPr>
      <w:r>
        <w:rPr/>
        <w:t>Yudiyanto, Yudhistira, E., &amp; Tania, A. L. (2019). Pengelolaan Sampah Pengabdian Pendampingan Kota Metro. Lembaga Penelitian</w:t>
      </w:r>
      <w:r>
        <w:rPr>
          <w:spacing w:val="78"/>
          <w:w w:val="150"/>
        </w:rPr>
        <w:t>  </w:t>
      </w:r>
      <w:r>
        <w:rPr/>
        <w:t>Dan</w:t>
      </w:r>
      <w:r>
        <w:rPr>
          <w:spacing w:val="78"/>
          <w:w w:val="150"/>
        </w:rPr>
        <w:t>  </w:t>
      </w:r>
      <w:r>
        <w:rPr/>
        <w:t>Pengabdian</w:t>
      </w:r>
      <w:r>
        <w:rPr>
          <w:spacing w:val="79"/>
          <w:w w:val="150"/>
        </w:rPr>
        <w:t>  </w:t>
      </w:r>
      <w:r>
        <w:rPr>
          <w:spacing w:val="-4"/>
        </w:rPr>
        <w:t>Pada</w:t>
      </w:r>
    </w:p>
    <w:p>
      <w:pPr>
        <w:pStyle w:val="BodyText"/>
        <w:spacing w:before="83"/>
        <w:ind w:left="503"/>
        <w:jc w:val="left"/>
      </w:pPr>
      <w:r>
        <w:rPr/>
        <w:br w:type="column"/>
      </w:r>
      <w:r>
        <w:rPr/>
        <w:t>Masyarakat,</w:t>
      </w:r>
      <w:r>
        <w:rPr>
          <w:spacing w:val="-9"/>
        </w:rPr>
        <w:t> </w:t>
      </w:r>
      <w:r>
        <w:rPr/>
        <w:t>6(11),</w:t>
      </w:r>
      <w:r>
        <w:rPr>
          <w:spacing w:val="-3"/>
        </w:rPr>
        <w:t> </w:t>
      </w:r>
      <w:r>
        <w:rPr/>
        <w:t>1–</w:t>
      </w:r>
      <w:r>
        <w:rPr>
          <w:spacing w:val="-5"/>
        </w:rPr>
        <w:t>80.</w:t>
      </w:r>
    </w:p>
    <w:p>
      <w:pPr>
        <w:pStyle w:val="Heading2"/>
        <w:numPr>
          <w:ilvl w:val="0"/>
          <w:numId w:val="1"/>
        </w:numPr>
        <w:tabs>
          <w:tab w:pos="243" w:val="left" w:leader="none"/>
        </w:tabs>
        <w:spacing w:line="240" w:lineRule="auto" w:before="160" w:after="0"/>
        <w:ind w:left="243" w:right="0" w:hanging="220"/>
        <w:jc w:val="left"/>
      </w:pPr>
      <w:r>
        <w:rPr>
          <w:spacing w:val="-2"/>
        </w:rPr>
        <w:t>DOKUMENTASI</w:t>
      </w:r>
    </w:p>
    <w:p>
      <w:pPr>
        <w:pStyle w:val="BodyText"/>
        <w:spacing w:before="8"/>
        <w:ind w:left="0"/>
        <w:jc w:val="left"/>
        <w:rPr>
          <w:b/>
          <w:sz w:val="11"/>
        </w:rPr>
      </w:pPr>
      <w:r>
        <w:rPr>
          <w:b/>
          <w:sz w:val="11"/>
        </w:rPr>
        <w:drawing>
          <wp:anchor distT="0" distB="0" distL="0" distR="0" allowOverlap="1" layoutInCell="1" locked="0" behindDoc="1" simplePos="0" relativeHeight="487589376">
            <wp:simplePos x="0" y="0"/>
            <wp:positionH relativeFrom="page">
              <wp:posOffset>4315714</wp:posOffset>
            </wp:positionH>
            <wp:positionV relativeFrom="paragraph">
              <wp:posOffset>100738</wp:posOffset>
            </wp:positionV>
            <wp:extent cx="2010534" cy="1792224"/>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15" cstate="print"/>
                    <a:stretch>
                      <a:fillRect/>
                    </a:stretch>
                  </pic:blipFill>
                  <pic:spPr>
                    <a:xfrm>
                      <a:off x="0" y="0"/>
                      <a:ext cx="2010534" cy="1792224"/>
                    </a:xfrm>
                    <a:prstGeom prst="rect">
                      <a:avLst/>
                    </a:prstGeom>
                  </pic:spPr>
                </pic:pic>
              </a:graphicData>
            </a:graphic>
          </wp:anchor>
        </w:drawing>
      </w:r>
      <w:r>
        <w:rPr>
          <w:b/>
          <w:sz w:val="11"/>
        </w:rPr>
        <w:drawing>
          <wp:anchor distT="0" distB="0" distL="0" distR="0" allowOverlap="1" layoutInCell="1" locked="0" behindDoc="1" simplePos="0" relativeHeight="487589888">
            <wp:simplePos x="0" y="0"/>
            <wp:positionH relativeFrom="page">
              <wp:posOffset>4326382</wp:posOffset>
            </wp:positionH>
            <wp:positionV relativeFrom="paragraph">
              <wp:posOffset>1999388</wp:posOffset>
            </wp:positionV>
            <wp:extent cx="2000885" cy="1549908"/>
            <wp:effectExtent l="0" t="0" r="0" b="0"/>
            <wp:wrapTopAndBottom/>
            <wp:docPr id="10" name="Image 10"/>
            <wp:cNvGraphicFramePr>
              <a:graphicFrameLocks/>
            </wp:cNvGraphicFramePr>
            <a:graphic>
              <a:graphicData uri="http://schemas.openxmlformats.org/drawingml/2006/picture">
                <pic:pic>
                  <pic:nvPicPr>
                    <pic:cNvPr id="10" name="Image 10"/>
                    <pic:cNvPicPr/>
                  </pic:nvPicPr>
                  <pic:blipFill>
                    <a:blip r:embed="rId16" cstate="print"/>
                    <a:stretch>
                      <a:fillRect/>
                    </a:stretch>
                  </pic:blipFill>
                  <pic:spPr>
                    <a:xfrm>
                      <a:off x="0" y="0"/>
                      <a:ext cx="2000885" cy="1549908"/>
                    </a:xfrm>
                    <a:prstGeom prst="rect">
                      <a:avLst/>
                    </a:prstGeom>
                  </pic:spPr>
                </pic:pic>
              </a:graphicData>
            </a:graphic>
          </wp:anchor>
        </w:drawing>
      </w:r>
    </w:p>
    <w:p>
      <w:pPr>
        <w:pStyle w:val="BodyText"/>
        <w:spacing w:before="5"/>
        <w:ind w:left="0"/>
        <w:jc w:val="left"/>
        <w:rPr>
          <w:b/>
          <w:sz w:val="12"/>
        </w:rPr>
      </w:pPr>
    </w:p>
    <w:p>
      <w:pPr>
        <w:pStyle w:val="Heading2"/>
        <w:spacing w:before="163"/>
        <w:ind w:left="0" w:right="139"/>
        <w:jc w:val="center"/>
      </w:pPr>
      <w:r>
        <w:rPr/>
        <w:t>Gambar</w:t>
      </w:r>
      <w:r>
        <w:rPr>
          <w:spacing w:val="-10"/>
        </w:rPr>
        <w:t> </w:t>
      </w:r>
      <w:r>
        <w:rPr/>
        <w:t>1.</w:t>
      </w:r>
      <w:r>
        <w:rPr>
          <w:spacing w:val="-6"/>
        </w:rPr>
        <w:t> </w:t>
      </w:r>
      <w:r>
        <w:rPr/>
        <w:t>Observasi</w:t>
      </w:r>
      <w:r>
        <w:rPr>
          <w:spacing w:val="-2"/>
        </w:rPr>
        <w:t> </w:t>
      </w:r>
      <w:r>
        <w:rPr>
          <w:spacing w:val="-4"/>
        </w:rPr>
        <w:t>awal</w:t>
      </w:r>
    </w:p>
    <w:p>
      <w:pPr>
        <w:pStyle w:val="BodyText"/>
        <w:spacing w:before="3"/>
        <w:ind w:left="0"/>
        <w:jc w:val="left"/>
        <w:rPr>
          <w:b/>
          <w:sz w:val="13"/>
        </w:rPr>
      </w:pPr>
      <w:r>
        <w:rPr>
          <w:b/>
          <w:sz w:val="13"/>
        </w:rPr>
        <w:drawing>
          <wp:anchor distT="0" distB="0" distL="0" distR="0" allowOverlap="1" layoutInCell="1" locked="0" behindDoc="1" simplePos="0" relativeHeight="487590400">
            <wp:simplePos x="0" y="0"/>
            <wp:positionH relativeFrom="page">
              <wp:posOffset>4325239</wp:posOffset>
            </wp:positionH>
            <wp:positionV relativeFrom="paragraph">
              <wp:posOffset>112535</wp:posOffset>
            </wp:positionV>
            <wp:extent cx="1992763" cy="1714500"/>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17" cstate="print"/>
                    <a:stretch>
                      <a:fillRect/>
                    </a:stretch>
                  </pic:blipFill>
                  <pic:spPr>
                    <a:xfrm>
                      <a:off x="0" y="0"/>
                      <a:ext cx="1992763" cy="1714500"/>
                    </a:xfrm>
                    <a:prstGeom prst="rect">
                      <a:avLst/>
                    </a:prstGeom>
                  </pic:spPr>
                </pic:pic>
              </a:graphicData>
            </a:graphic>
          </wp:anchor>
        </w:drawing>
      </w:r>
      <w:r>
        <w:rPr>
          <w:b/>
          <w:sz w:val="13"/>
        </w:rPr>
        <w:drawing>
          <wp:anchor distT="0" distB="0" distL="0" distR="0" allowOverlap="1" layoutInCell="1" locked="0" behindDoc="1" simplePos="0" relativeHeight="487590912">
            <wp:simplePos x="0" y="0"/>
            <wp:positionH relativeFrom="page">
              <wp:posOffset>4315714</wp:posOffset>
            </wp:positionH>
            <wp:positionV relativeFrom="paragraph">
              <wp:posOffset>1930540</wp:posOffset>
            </wp:positionV>
            <wp:extent cx="2008465" cy="1810512"/>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18" cstate="print"/>
                    <a:stretch>
                      <a:fillRect/>
                    </a:stretch>
                  </pic:blipFill>
                  <pic:spPr>
                    <a:xfrm>
                      <a:off x="0" y="0"/>
                      <a:ext cx="2008465" cy="1810512"/>
                    </a:xfrm>
                    <a:prstGeom prst="rect">
                      <a:avLst/>
                    </a:prstGeom>
                  </pic:spPr>
                </pic:pic>
              </a:graphicData>
            </a:graphic>
          </wp:anchor>
        </w:drawing>
      </w:r>
    </w:p>
    <w:p>
      <w:pPr>
        <w:pStyle w:val="BodyText"/>
        <w:spacing w:before="1"/>
        <w:ind w:left="0"/>
        <w:jc w:val="left"/>
        <w:rPr>
          <w:b/>
          <w:sz w:val="12"/>
        </w:rPr>
      </w:pPr>
    </w:p>
    <w:p>
      <w:pPr>
        <w:spacing w:before="166"/>
        <w:ind w:left="0" w:right="139" w:firstLine="0"/>
        <w:jc w:val="center"/>
        <w:rPr>
          <w:b/>
          <w:sz w:val="22"/>
        </w:rPr>
      </w:pPr>
      <w:r>
        <w:rPr>
          <w:b/>
          <w:sz w:val="22"/>
        </w:rPr>
        <w:t>Gambar</w:t>
      </w:r>
      <w:r>
        <w:rPr>
          <w:b/>
          <w:spacing w:val="-10"/>
          <w:sz w:val="22"/>
        </w:rPr>
        <w:t> </w:t>
      </w:r>
      <w:r>
        <w:rPr>
          <w:b/>
          <w:sz w:val="22"/>
        </w:rPr>
        <w:t>2.</w:t>
      </w:r>
      <w:r>
        <w:rPr>
          <w:b/>
          <w:spacing w:val="-4"/>
          <w:sz w:val="22"/>
        </w:rPr>
        <w:t> </w:t>
      </w:r>
      <w:r>
        <w:rPr>
          <w:b/>
          <w:sz w:val="22"/>
        </w:rPr>
        <w:t>Pengisian</w:t>
      </w:r>
      <w:r>
        <w:rPr>
          <w:b/>
          <w:spacing w:val="-5"/>
          <w:sz w:val="22"/>
        </w:rPr>
        <w:t> </w:t>
      </w:r>
      <w:r>
        <w:rPr>
          <w:b/>
          <w:sz w:val="22"/>
        </w:rPr>
        <w:t>kuesioner</w:t>
      </w:r>
      <w:r>
        <w:rPr>
          <w:b/>
          <w:spacing w:val="-9"/>
          <w:sz w:val="22"/>
        </w:rPr>
        <w:t> </w:t>
      </w:r>
      <w:r>
        <w:rPr>
          <w:b/>
          <w:spacing w:val="-2"/>
          <w:sz w:val="22"/>
        </w:rPr>
        <w:t>penelitian</w:t>
      </w:r>
    </w:p>
    <w:p>
      <w:pPr>
        <w:spacing w:after="0"/>
        <w:jc w:val="center"/>
        <w:rPr>
          <w:b/>
          <w:sz w:val="22"/>
        </w:rPr>
        <w:sectPr>
          <w:pgSz w:w="11910" w:h="16840"/>
          <w:pgMar w:header="0" w:footer="2031" w:top="1340" w:bottom="2240" w:left="1417" w:right="1275"/>
          <w:cols w:num="2" w:equalWidth="0">
            <w:col w:w="4187" w:space="681"/>
            <w:col w:w="4350"/>
          </w:cols>
        </w:sectPr>
      </w:pPr>
    </w:p>
    <w:p>
      <w:pPr>
        <w:pStyle w:val="BodyText"/>
        <w:spacing w:before="4"/>
        <w:ind w:left="0"/>
        <w:jc w:val="left"/>
        <w:rPr>
          <w:b/>
          <w:sz w:val="17"/>
        </w:rPr>
      </w:pPr>
    </w:p>
    <w:sectPr>
      <w:pgSz w:w="11910" w:h="16840"/>
      <w:pgMar w:header="0" w:footer="2031" w:top="1920" w:bottom="2300" w:left="1417"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17"/>
      </w:rPr>
    </w:pPr>
    <w:r>
      <w:rPr>
        <w:sz w:val="17"/>
      </w:rPr>
      <mc:AlternateContent>
        <mc:Choice Requires="wps">
          <w:drawing>
            <wp:anchor distT="0" distB="0" distL="0" distR="0" allowOverlap="1" layoutInCell="1" locked="0" behindDoc="1" simplePos="0" relativeHeight="487337472">
              <wp:simplePos x="0" y="0"/>
              <wp:positionH relativeFrom="page">
                <wp:posOffset>3697351</wp:posOffset>
              </wp:positionH>
              <wp:positionV relativeFrom="page">
                <wp:posOffset>9218194</wp:posOffset>
              </wp:positionV>
              <wp:extent cx="165735" cy="1809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735" cy="180975"/>
                      </a:xfrm>
                      <a:prstGeom prst="rect">
                        <a:avLst/>
                      </a:prstGeom>
                    </wps:spPr>
                    <wps:txbx>
                      <w:txbxContent>
                        <w:p>
                          <w:pPr>
                            <w:pStyle w:val="BodyText"/>
                            <w:spacing w:before="11"/>
                            <w:ind w:left="20"/>
                            <w:jc w:val="left"/>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1.130005pt;margin-top:725.842102pt;width:13.05pt;height:14.25pt;mso-position-horizontal-relative:page;mso-position-vertical-relative:page;z-index:-15979008" type="#_x0000_t202" id="docshape1" filled="false" stroked="false">
              <v:textbox inset="0,0,0,0">
                <w:txbxContent>
                  <w:p>
                    <w:pPr>
                      <w:pStyle w:val="BodyText"/>
                      <w:spacing w:before="11"/>
                      <w:ind w:left="20"/>
                      <w:jc w:val="left"/>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450" w:hanging="360"/>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1"/>
      <w:numFmt w:val="decimal"/>
      <w:lvlText w:val="%2."/>
      <w:lvlJc w:val="left"/>
      <w:pPr>
        <w:ind w:left="743" w:hanging="360"/>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2">
      <w:start w:val="0"/>
      <w:numFmt w:val="bullet"/>
      <w:lvlText w:val="•"/>
      <w:lvlJc w:val="left"/>
      <w:pPr>
        <w:ind w:left="582" w:hanging="360"/>
      </w:pPr>
      <w:rPr>
        <w:rFonts w:hint="default"/>
        <w:lang w:val="id" w:eastAsia="en-US" w:bidi="ar-SA"/>
      </w:rPr>
    </w:lvl>
    <w:lvl w:ilvl="3">
      <w:start w:val="0"/>
      <w:numFmt w:val="bullet"/>
      <w:lvlText w:val="•"/>
      <w:lvlJc w:val="left"/>
      <w:pPr>
        <w:ind w:left="424" w:hanging="360"/>
      </w:pPr>
      <w:rPr>
        <w:rFonts w:hint="default"/>
        <w:lang w:val="id" w:eastAsia="en-US" w:bidi="ar-SA"/>
      </w:rPr>
    </w:lvl>
    <w:lvl w:ilvl="4">
      <w:start w:val="0"/>
      <w:numFmt w:val="bullet"/>
      <w:lvlText w:val="•"/>
      <w:lvlJc w:val="left"/>
      <w:pPr>
        <w:ind w:left="266" w:hanging="360"/>
      </w:pPr>
      <w:rPr>
        <w:rFonts w:hint="default"/>
        <w:lang w:val="id" w:eastAsia="en-US" w:bidi="ar-SA"/>
      </w:rPr>
    </w:lvl>
    <w:lvl w:ilvl="5">
      <w:start w:val="0"/>
      <w:numFmt w:val="bullet"/>
      <w:lvlText w:val="•"/>
      <w:lvlJc w:val="left"/>
      <w:pPr>
        <w:ind w:left="108" w:hanging="360"/>
      </w:pPr>
      <w:rPr>
        <w:rFonts w:hint="default"/>
        <w:lang w:val="id" w:eastAsia="en-US" w:bidi="ar-SA"/>
      </w:rPr>
    </w:lvl>
    <w:lvl w:ilvl="6">
      <w:start w:val="0"/>
      <w:numFmt w:val="bullet"/>
      <w:lvlText w:val="•"/>
      <w:lvlJc w:val="left"/>
      <w:pPr>
        <w:ind w:left="-50" w:hanging="360"/>
      </w:pPr>
      <w:rPr>
        <w:rFonts w:hint="default"/>
        <w:lang w:val="id" w:eastAsia="en-US" w:bidi="ar-SA"/>
      </w:rPr>
    </w:lvl>
    <w:lvl w:ilvl="7">
      <w:start w:val="0"/>
      <w:numFmt w:val="bullet"/>
      <w:lvlText w:val="•"/>
      <w:lvlJc w:val="left"/>
      <w:pPr>
        <w:ind w:left="-208" w:hanging="360"/>
      </w:pPr>
      <w:rPr>
        <w:rFonts w:hint="default"/>
        <w:lang w:val="id" w:eastAsia="en-US" w:bidi="ar-SA"/>
      </w:rPr>
    </w:lvl>
    <w:lvl w:ilvl="8">
      <w:start w:val="0"/>
      <w:numFmt w:val="bullet"/>
      <w:lvlText w:val="•"/>
      <w:lvlJc w:val="left"/>
      <w:pPr>
        <w:ind w:left="-365" w:hanging="360"/>
      </w:pPr>
      <w:rPr>
        <w:rFonts w:hint="default"/>
        <w:lang w:val="id" w:eastAsia="en-US" w:bidi="ar-SA"/>
      </w:rPr>
    </w:lvl>
  </w:abstractNum>
  <w:abstractNum w:abstractNumId="0">
    <w:multiLevelType w:val="hybridMultilevel"/>
    <w:lvl w:ilvl="0">
      <w:start w:val="1"/>
      <w:numFmt w:val="decimal"/>
      <w:lvlText w:val="%1."/>
      <w:lvlJc w:val="left"/>
      <w:pPr>
        <w:ind w:left="450" w:hanging="428"/>
        <w:jc w:val="right"/>
      </w:pPr>
      <w:rPr>
        <w:rFonts w:hint="default"/>
        <w:spacing w:val="0"/>
        <w:w w:val="100"/>
        <w:lang w:val="id" w:eastAsia="en-US" w:bidi="ar-SA"/>
      </w:rPr>
    </w:lvl>
    <w:lvl w:ilvl="1">
      <w:start w:val="0"/>
      <w:numFmt w:val="bullet"/>
      <w:lvlText w:val="•"/>
      <w:lvlJc w:val="left"/>
      <w:pPr>
        <w:ind w:left="832" w:hanging="428"/>
      </w:pPr>
      <w:rPr>
        <w:rFonts w:hint="default"/>
        <w:lang w:val="id" w:eastAsia="en-US" w:bidi="ar-SA"/>
      </w:rPr>
    </w:lvl>
    <w:lvl w:ilvl="2">
      <w:start w:val="0"/>
      <w:numFmt w:val="bullet"/>
      <w:lvlText w:val="•"/>
      <w:lvlJc w:val="left"/>
      <w:pPr>
        <w:ind w:left="1204" w:hanging="428"/>
      </w:pPr>
      <w:rPr>
        <w:rFonts w:hint="default"/>
        <w:lang w:val="id" w:eastAsia="en-US" w:bidi="ar-SA"/>
      </w:rPr>
    </w:lvl>
    <w:lvl w:ilvl="3">
      <w:start w:val="0"/>
      <w:numFmt w:val="bullet"/>
      <w:lvlText w:val="•"/>
      <w:lvlJc w:val="left"/>
      <w:pPr>
        <w:ind w:left="1576" w:hanging="428"/>
      </w:pPr>
      <w:rPr>
        <w:rFonts w:hint="default"/>
        <w:lang w:val="id" w:eastAsia="en-US" w:bidi="ar-SA"/>
      </w:rPr>
    </w:lvl>
    <w:lvl w:ilvl="4">
      <w:start w:val="0"/>
      <w:numFmt w:val="bullet"/>
      <w:lvlText w:val="•"/>
      <w:lvlJc w:val="left"/>
      <w:pPr>
        <w:ind w:left="1949" w:hanging="428"/>
      </w:pPr>
      <w:rPr>
        <w:rFonts w:hint="default"/>
        <w:lang w:val="id" w:eastAsia="en-US" w:bidi="ar-SA"/>
      </w:rPr>
    </w:lvl>
    <w:lvl w:ilvl="5">
      <w:start w:val="0"/>
      <w:numFmt w:val="bullet"/>
      <w:lvlText w:val="•"/>
      <w:lvlJc w:val="left"/>
      <w:pPr>
        <w:ind w:left="2321" w:hanging="428"/>
      </w:pPr>
      <w:rPr>
        <w:rFonts w:hint="default"/>
        <w:lang w:val="id" w:eastAsia="en-US" w:bidi="ar-SA"/>
      </w:rPr>
    </w:lvl>
    <w:lvl w:ilvl="6">
      <w:start w:val="0"/>
      <w:numFmt w:val="bullet"/>
      <w:lvlText w:val="•"/>
      <w:lvlJc w:val="left"/>
      <w:pPr>
        <w:ind w:left="2693" w:hanging="428"/>
      </w:pPr>
      <w:rPr>
        <w:rFonts w:hint="default"/>
        <w:lang w:val="id" w:eastAsia="en-US" w:bidi="ar-SA"/>
      </w:rPr>
    </w:lvl>
    <w:lvl w:ilvl="7">
      <w:start w:val="0"/>
      <w:numFmt w:val="bullet"/>
      <w:lvlText w:val="•"/>
      <w:lvlJc w:val="left"/>
      <w:pPr>
        <w:ind w:left="3066" w:hanging="428"/>
      </w:pPr>
      <w:rPr>
        <w:rFonts w:hint="default"/>
        <w:lang w:val="id" w:eastAsia="en-US" w:bidi="ar-SA"/>
      </w:rPr>
    </w:lvl>
    <w:lvl w:ilvl="8">
      <w:start w:val="0"/>
      <w:numFmt w:val="bullet"/>
      <w:lvlText w:val="•"/>
      <w:lvlJc w:val="left"/>
      <w:pPr>
        <w:ind w:left="3438" w:hanging="428"/>
      </w:pPr>
      <w:rPr>
        <w:rFonts w:hint="default"/>
        <w:lang w:val="id"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ind w:left="23"/>
      <w:jc w:val="both"/>
    </w:pPr>
    <w:rPr>
      <w:rFonts w:ascii="Times New Roman" w:hAnsi="Times New Roman" w:eastAsia="Times New Roman" w:cs="Times New Roman"/>
      <w:sz w:val="22"/>
      <w:szCs w:val="22"/>
      <w:lang w:val="id" w:eastAsia="en-US" w:bidi="ar-SA"/>
    </w:rPr>
  </w:style>
  <w:style w:styleId="Heading1" w:type="paragraph">
    <w:name w:val="Heading 1"/>
    <w:basedOn w:val="Normal"/>
    <w:uiPriority w:val="1"/>
    <w:qFormat/>
    <w:pPr>
      <w:spacing w:before="121"/>
      <w:ind w:left="450" w:hanging="427"/>
      <w:outlineLvl w:val="1"/>
    </w:pPr>
    <w:rPr>
      <w:rFonts w:ascii="Times New Roman" w:hAnsi="Times New Roman" w:eastAsia="Times New Roman" w:cs="Times New Roman"/>
      <w:b/>
      <w:bCs/>
      <w:sz w:val="24"/>
      <w:szCs w:val="24"/>
      <w:lang w:val="id" w:eastAsia="en-US" w:bidi="ar-SA"/>
    </w:rPr>
  </w:style>
  <w:style w:styleId="Heading2" w:type="paragraph">
    <w:name w:val="Heading 2"/>
    <w:basedOn w:val="Normal"/>
    <w:uiPriority w:val="1"/>
    <w:qFormat/>
    <w:pPr>
      <w:spacing w:before="119"/>
      <w:ind w:left="23"/>
      <w:jc w:val="both"/>
      <w:outlineLvl w:val="2"/>
    </w:pPr>
    <w:rPr>
      <w:rFonts w:ascii="Times New Roman" w:hAnsi="Times New Roman" w:eastAsia="Times New Roman" w:cs="Times New Roman"/>
      <w:b/>
      <w:bCs/>
      <w:sz w:val="22"/>
      <w:szCs w:val="22"/>
      <w:lang w:val="id" w:eastAsia="en-US" w:bidi="ar-SA"/>
    </w:rPr>
  </w:style>
  <w:style w:styleId="Title" w:type="paragraph">
    <w:name w:val="Title"/>
    <w:basedOn w:val="Normal"/>
    <w:uiPriority w:val="1"/>
    <w:qFormat/>
    <w:pPr>
      <w:spacing w:before="62"/>
      <w:ind w:right="139"/>
      <w:jc w:val="center"/>
    </w:pPr>
    <w:rPr>
      <w:rFonts w:ascii="Times New Roman" w:hAnsi="Times New Roman" w:eastAsia="Times New Roman" w:cs="Times New Roman"/>
      <w:b/>
      <w:bCs/>
      <w:sz w:val="28"/>
      <w:szCs w:val="28"/>
      <w:lang w:val="id" w:eastAsia="en-US" w:bidi="ar-SA"/>
    </w:rPr>
  </w:style>
  <w:style w:styleId="ListParagraph" w:type="paragraph">
    <w:name w:val="List Paragraph"/>
    <w:basedOn w:val="Normal"/>
    <w:uiPriority w:val="1"/>
    <w:qFormat/>
    <w:pPr>
      <w:spacing w:before="121"/>
      <w:ind w:left="450" w:hanging="427"/>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hy.tiayah@gmail.com" TargetMode="External"/><Relationship Id="rId6" Type="http://schemas.openxmlformats.org/officeDocument/2006/relationships/footer" Target="footer1.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hyperlink" Target="https://Doi.Org/10.21070/2017/978-979-" TargetMode="External"/><Relationship Id="rId10" Type="http://schemas.openxmlformats.org/officeDocument/2006/relationships/hyperlink" Target="https://doi.org/10.26623/Jpk.V1i1.5982" TargetMode="External"/><Relationship Id="rId11" Type="http://schemas.openxmlformats.org/officeDocument/2006/relationships/hyperlink" Target="https://Doi.Org/10.1016/0749-" TargetMode="External"/><Relationship Id="rId12" Type="http://schemas.openxmlformats.org/officeDocument/2006/relationships/hyperlink" Target="https://doi.org/10.6084/M9.Figshare.16622644.V1%201" TargetMode="External"/><Relationship Id="rId13" Type="http://schemas.openxmlformats.org/officeDocument/2006/relationships/hyperlink" Target="https://Doi.Org/10.34012/Jpms.V4i2.326" TargetMode="External"/><Relationship Id="rId14" Type="http://schemas.openxmlformats.org/officeDocument/2006/relationships/hyperlink" Target="https://wedocs.unep.org/20.500.11822/44939" TargetMode="External"/><Relationship Id="rId15" Type="http://schemas.openxmlformats.org/officeDocument/2006/relationships/image" Target="media/image3.jpeg"/><Relationship Id="rId16" Type="http://schemas.openxmlformats.org/officeDocument/2006/relationships/image" Target="media/image4.jpe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Iqfhan .</dc:creator>
  <dcterms:created xsi:type="dcterms:W3CDTF">2026-09-10T02:57:42Z</dcterms:created>
  <dcterms:modified xsi:type="dcterms:W3CDTF">2026-09-10T02:57:42Z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2026-08-13T00:00:00Z</vt:filetime>
  </property>
  <property fmtid="{D5CDD505-2E9C-101B-9397-08002B2CF9AE}" pid="4" name="Creator">
    <vt:lpwstr>Microsoft® Word 2024</vt:lpwstr>
  </property>
  <property fmtid="{D5CDD505-2E9C-101B-9397-08002B2CF9AE}" pid="5" name="LastSaved">
    <vt:filetime>2026-09-10T00:00:00Z</vt:filetime>
  </property>
  <property fmtid="{D5CDD505-2E9C-101B-9397-08002B2CF9AE}" pid="6" name="Producer">
    <vt:lpwstr>Microsoft® Word 2024</vt:lpwstr>
  </property>
</Properties>
</file>